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A559B" w:rsidRDefault="009C0453">
      <w:pPr>
        <w:jc w:val="left"/>
        <w:rPr>
          <w:rFonts w:ascii="宋体" w:hAnsi="宋体" w:cs="宋体"/>
          <w:color w:val="000000"/>
          <w:sz w:val="32"/>
          <w:szCs w:val="32"/>
        </w:rPr>
      </w:pPr>
      <w:r>
        <w:rPr>
          <w:rFonts w:ascii="宋体" w:hAnsi="宋体" w:cs="宋体" w:hint="eastAsia"/>
          <w:color w:val="000000"/>
          <w:sz w:val="32"/>
          <w:szCs w:val="32"/>
        </w:rPr>
        <w:t>附件</w:t>
      </w:r>
    </w:p>
    <w:p w:rsidR="003A559B" w:rsidRDefault="009C0453">
      <w:pPr>
        <w:jc w:val="center"/>
        <w:rPr>
          <w:rFonts w:ascii="宋体" w:hAnsi="宋体" w:cs="宋体"/>
          <w:b/>
          <w:bCs/>
          <w:color w:val="000000"/>
          <w:sz w:val="44"/>
          <w:szCs w:val="44"/>
        </w:rPr>
      </w:pPr>
      <w:r>
        <w:rPr>
          <w:rFonts w:ascii="宋体" w:hAnsi="宋体" w:cs="宋体" w:hint="eastAsia"/>
          <w:b/>
          <w:bCs/>
          <w:color w:val="000000"/>
          <w:sz w:val="44"/>
          <w:szCs w:val="44"/>
        </w:rPr>
        <w:t>社会保险基金安全评估指标表（参考）</w:t>
      </w:r>
    </w:p>
    <w:p w:rsidR="003A559B" w:rsidRDefault="003A559B">
      <w:pPr>
        <w:jc w:val="center"/>
        <w:rPr>
          <w:rFonts w:ascii="宋体" w:hAnsi="宋体" w:cs="宋体"/>
          <w:color w:val="000000"/>
          <w:szCs w:val="21"/>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1410"/>
        <w:gridCol w:w="2962"/>
        <w:gridCol w:w="4669"/>
        <w:gridCol w:w="713"/>
        <w:gridCol w:w="3363"/>
      </w:tblGrid>
      <w:tr w:rsidR="003A559B">
        <w:trPr>
          <w:trHeight w:val="417"/>
          <w:tblHeader/>
        </w:trPr>
        <w:tc>
          <w:tcPr>
            <w:tcW w:w="1080" w:type="dxa"/>
            <w:vAlign w:val="center"/>
          </w:tcPr>
          <w:p w:rsidR="003A559B" w:rsidRDefault="009C0453">
            <w:pPr>
              <w:adjustRightInd w:val="0"/>
              <w:snapToGrid w:val="0"/>
              <w:jc w:val="center"/>
              <w:rPr>
                <w:rFonts w:ascii="黑体" w:eastAsia="黑体" w:hAnsi="黑体" w:cs="黑体"/>
                <w:bCs/>
                <w:sz w:val="24"/>
                <w:szCs w:val="24"/>
              </w:rPr>
            </w:pPr>
            <w:r>
              <w:rPr>
                <w:rFonts w:ascii="黑体" w:eastAsia="黑体" w:hAnsi="黑体" w:cs="黑体" w:hint="eastAsia"/>
                <w:bCs/>
                <w:sz w:val="24"/>
                <w:szCs w:val="24"/>
              </w:rPr>
              <w:t>评估</w:t>
            </w:r>
          </w:p>
          <w:p w:rsidR="003A559B" w:rsidRDefault="009C0453">
            <w:pPr>
              <w:adjustRightInd w:val="0"/>
              <w:snapToGrid w:val="0"/>
              <w:jc w:val="center"/>
              <w:rPr>
                <w:rFonts w:ascii="黑体" w:eastAsia="黑体" w:hAnsi="黑体" w:cs="黑体"/>
                <w:bCs/>
                <w:sz w:val="24"/>
                <w:szCs w:val="24"/>
              </w:rPr>
            </w:pPr>
            <w:r>
              <w:rPr>
                <w:rFonts w:ascii="黑体" w:eastAsia="黑体" w:hAnsi="黑体" w:cs="黑体" w:hint="eastAsia"/>
                <w:bCs/>
                <w:sz w:val="24"/>
                <w:szCs w:val="24"/>
              </w:rPr>
              <w:t>项目</w:t>
            </w:r>
          </w:p>
        </w:tc>
        <w:tc>
          <w:tcPr>
            <w:tcW w:w="1410" w:type="dxa"/>
            <w:vAlign w:val="center"/>
          </w:tcPr>
          <w:p w:rsidR="003A559B" w:rsidRDefault="009C0453">
            <w:pPr>
              <w:adjustRightInd w:val="0"/>
              <w:snapToGrid w:val="0"/>
              <w:jc w:val="center"/>
              <w:rPr>
                <w:rFonts w:ascii="黑体" w:eastAsia="黑体" w:hAnsi="黑体" w:cs="黑体"/>
                <w:bCs/>
                <w:sz w:val="24"/>
                <w:szCs w:val="24"/>
              </w:rPr>
            </w:pPr>
            <w:r>
              <w:rPr>
                <w:rFonts w:ascii="黑体" w:eastAsia="黑体" w:hAnsi="黑体" w:cs="黑体" w:hint="eastAsia"/>
                <w:bCs/>
                <w:sz w:val="24"/>
                <w:szCs w:val="24"/>
              </w:rPr>
              <w:t>指标</w:t>
            </w:r>
          </w:p>
          <w:p w:rsidR="003A559B" w:rsidRDefault="009C0453">
            <w:pPr>
              <w:adjustRightInd w:val="0"/>
              <w:snapToGrid w:val="0"/>
              <w:jc w:val="center"/>
              <w:rPr>
                <w:rFonts w:ascii="黑体" w:eastAsia="黑体" w:hAnsi="黑体" w:cs="黑体"/>
                <w:bCs/>
                <w:sz w:val="24"/>
                <w:szCs w:val="24"/>
              </w:rPr>
            </w:pPr>
            <w:r>
              <w:rPr>
                <w:rFonts w:ascii="黑体" w:eastAsia="黑体" w:hAnsi="黑体" w:cs="黑体" w:hint="eastAsia"/>
                <w:bCs/>
                <w:sz w:val="24"/>
                <w:szCs w:val="24"/>
              </w:rPr>
              <w:t>类别</w:t>
            </w:r>
          </w:p>
        </w:tc>
        <w:tc>
          <w:tcPr>
            <w:tcW w:w="2962" w:type="dxa"/>
            <w:vAlign w:val="center"/>
          </w:tcPr>
          <w:p w:rsidR="003A559B" w:rsidRDefault="009C0453">
            <w:pPr>
              <w:adjustRightInd w:val="0"/>
              <w:snapToGrid w:val="0"/>
              <w:jc w:val="center"/>
              <w:rPr>
                <w:rFonts w:ascii="黑体" w:eastAsia="黑体" w:hAnsi="黑体" w:cs="黑体"/>
                <w:bCs/>
                <w:sz w:val="24"/>
                <w:szCs w:val="24"/>
              </w:rPr>
            </w:pPr>
            <w:r>
              <w:rPr>
                <w:rFonts w:ascii="黑体" w:eastAsia="黑体" w:hAnsi="黑体" w:cs="黑体" w:hint="eastAsia"/>
                <w:bCs/>
                <w:sz w:val="24"/>
                <w:szCs w:val="24"/>
              </w:rPr>
              <w:t>指标名称</w:t>
            </w:r>
          </w:p>
        </w:tc>
        <w:tc>
          <w:tcPr>
            <w:tcW w:w="4669" w:type="dxa"/>
            <w:vAlign w:val="center"/>
          </w:tcPr>
          <w:p w:rsidR="003A559B" w:rsidRDefault="009C0453">
            <w:pPr>
              <w:adjustRightInd w:val="0"/>
              <w:snapToGrid w:val="0"/>
              <w:jc w:val="center"/>
              <w:rPr>
                <w:rFonts w:ascii="黑体" w:eastAsia="黑体" w:hAnsi="黑体" w:cs="黑体"/>
                <w:bCs/>
                <w:sz w:val="24"/>
                <w:szCs w:val="24"/>
              </w:rPr>
            </w:pPr>
            <w:r>
              <w:rPr>
                <w:rFonts w:ascii="黑体" w:eastAsia="黑体" w:hAnsi="黑体" w:cs="黑体" w:hint="eastAsia"/>
                <w:bCs/>
                <w:sz w:val="24"/>
                <w:szCs w:val="24"/>
              </w:rPr>
              <w:t>指标涵义</w:t>
            </w:r>
          </w:p>
        </w:tc>
        <w:tc>
          <w:tcPr>
            <w:tcW w:w="713" w:type="dxa"/>
            <w:vAlign w:val="center"/>
          </w:tcPr>
          <w:p w:rsidR="003A559B" w:rsidRDefault="009C0453">
            <w:pPr>
              <w:adjustRightInd w:val="0"/>
              <w:snapToGrid w:val="0"/>
              <w:jc w:val="center"/>
              <w:rPr>
                <w:rFonts w:ascii="黑体" w:eastAsia="黑体" w:hAnsi="黑体" w:cs="黑体"/>
                <w:bCs/>
                <w:sz w:val="24"/>
                <w:szCs w:val="24"/>
              </w:rPr>
            </w:pPr>
            <w:r>
              <w:rPr>
                <w:rFonts w:ascii="黑体" w:eastAsia="黑体" w:hAnsi="黑体" w:cs="黑体" w:hint="eastAsia"/>
                <w:bCs/>
                <w:sz w:val="24"/>
                <w:szCs w:val="24"/>
              </w:rPr>
              <w:t>分值</w:t>
            </w:r>
          </w:p>
        </w:tc>
        <w:tc>
          <w:tcPr>
            <w:tcW w:w="3363" w:type="dxa"/>
            <w:vAlign w:val="center"/>
          </w:tcPr>
          <w:p w:rsidR="003A559B" w:rsidRDefault="009C0453">
            <w:pPr>
              <w:adjustRightInd w:val="0"/>
              <w:snapToGrid w:val="0"/>
              <w:jc w:val="center"/>
              <w:rPr>
                <w:rFonts w:ascii="黑体" w:eastAsia="黑体" w:hAnsi="黑体" w:cs="黑体"/>
                <w:bCs/>
                <w:sz w:val="24"/>
                <w:szCs w:val="24"/>
              </w:rPr>
            </w:pPr>
            <w:r>
              <w:rPr>
                <w:rFonts w:ascii="黑体" w:eastAsia="黑体" w:hAnsi="黑体" w:cs="黑体" w:hint="eastAsia"/>
                <w:bCs/>
                <w:sz w:val="24"/>
                <w:szCs w:val="24"/>
              </w:rPr>
              <w:t>评分规则指引</w:t>
            </w:r>
          </w:p>
        </w:tc>
      </w:tr>
      <w:tr w:rsidR="003A559B" w:rsidTr="00A010D2">
        <w:trPr>
          <w:trHeight w:val="763"/>
        </w:trPr>
        <w:tc>
          <w:tcPr>
            <w:tcW w:w="1080" w:type="dxa"/>
            <w:vMerge w:val="restart"/>
            <w:vAlign w:val="center"/>
          </w:tcPr>
          <w:p w:rsidR="003A559B" w:rsidRDefault="009C0453" w:rsidP="00A010D2">
            <w:pPr>
              <w:adjustRightInd w:val="0"/>
              <w:snapToGrid w:val="0"/>
              <w:jc w:val="center"/>
              <w:rPr>
                <w:rFonts w:ascii="仿宋_GB2312" w:eastAsia="仿宋_GB2312"/>
                <w:sz w:val="24"/>
                <w:szCs w:val="24"/>
              </w:rPr>
            </w:pPr>
            <w:r>
              <w:rPr>
                <w:rFonts w:ascii="仿宋_GB2312" w:eastAsia="仿宋_GB2312" w:hint="eastAsia"/>
                <w:sz w:val="24"/>
                <w:szCs w:val="24"/>
              </w:rPr>
              <w:t>基金运行状况（共100分）</w:t>
            </w:r>
          </w:p>
          <w:p w:rsidR="003A559B" w:rsidRDefault="003A559B" w:rsidP="00A010D2">
            <w:pPr>
              <w:adjustRightInd w:val="0"/>
              <w:snapToGrid w:val="0"/>
              <w:jc w:val="center"/>
              <w:rPr>
                <w:rFonts w:ascii="仿宋_GB2312" w:eastAsia="仿宋_GB2312"/>
                <w:sz w:val="24"/>
                <w:szCs w:val="24"/>
              </w:rPr>
            </w:pPr>
          </w:p>
          <w:p w:rsidR="003A559B" w:rsidRDefault="003A559B" w:rsidP="00A010D2">
            <w:pPr>
              <w:adjustRightInd w:val="0"/>
              <w:snapToGrid w:val="0"/>
              <w:jc w:val="center"/>
              <w:rPr>
                <w:rFonts w:ascii="仿宋_GB2312" w:eastAsia="仿宋_GB2312"/>
                <w:sz w:val="24"/>
                <w:szCs w:val="24"/>
              </w:rPr>
            </w:pPr>
          </w:p>
        </w:tc>
        <w:tc>
          <w:tcPr>
            <w:tcW w:w="1410" w:type="dxa"/>
            <w:vMerge w:val="restart"/>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基金支</w:t>
            </w:r>
          </w:p>
          <w:p w:rsidR="003A559B" w:rsidRDefault="009C0453">
            <w:pPr>
              <w:adjustRightInd w:val="0"/>
              <w:snapToGrid w:val="0"/>
              <w:jc w:val="center"/>
              <w:rPr>
                <w:rFonts w:ascii="仿宋_GB2312" w:eastAsia="仿宋_GB2312"/>
                <w:sz w:val="24"/>
                <w:szCs w:val="24"/>
              </w:rPr>
            </w:pPr>
            <w:proofErr w:type="gramStart"/>
            <w:r>
              <w:rPr>
                <w:rFonts w:ascii="仿宋_GB2312" w:eastAsia="仿宋_GB2312" w:hint="eastAsia"/>
                <w:sz w:val="24"/>
                <w:szCs w:val="24"/>
              </w:rPr>
              <w:t>撑</w:t>
            </w:r>
            <w:proofErr w:type="gramEnd"/>
            <w:r>
              <w:rPr>
                <w:rFonts w:ascii="仿宋_GB2312" w:eastAsia="仿宋_GB2312" w:hint="eastAsia"/>
                <w:sz w:val="24"/>
                <w:szCs w:val="24"/>
              </w:rPr>
              <w:t>能力</w:t>
            </w:r>
          </w:p>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（共65分）</w:t>
            </w: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1.参保缴费率</w:t>
            </w:r>
          </w:p>
        </w:tc>
        <w:tc>
          <w:tcPr>
            <w:tcW w:w="4669" w:type="dxa"/>
            <w:vAlign w:val="center"/>
          </w:tcPr>
          <w:p w:rsidR="003A559B" w:rsidRDefault="009C0453">
            <w:pPr>
              <w:rPr>
                <w:rFonts w:ascii="仿宋_GB2312" w:eastAsia="仿宋_GB2312"/>
                <w:sz w:val="24"/>
                <w:szCs w:val="24"/>
              </w:rPr>
            </w:pPr>
            <w:r>
              <w:rPr>
                <w:rFonts w:ascii="仿宋_GB2312" w:eastAsia="仿宋_GB2312" w:hint="eastAsia"/>
                <w:sz w:val="24"/>
                <w:szCs w:val="24"/>
              </w:rPr>
              <w:t>实际缴费人数/参保人数，用于衡量实际参保缴费状况。</w:t>
            </w:r>
          </w:p>
        </w:tc>
        <w:tc>
          <w:tcPr>
            <w:tcW w:w="713" w:type="dxa"/>
            <w:vAlign w:val="center"/>
          </w:tcPr>
          <w:p w:rsidR="003A559B" w:rsidRDefault="009C0453">
            <w:pPr>
              <w:jc w:val="center"/>
              <w:rPr>
                <w:rFonts w:ascii="仿宋_GB2312" w:eastAsia="仿宋_GB2312"/>
                <w:kern w:val="0"/>
                <w:sz w:val="24"/>
                <w:szCs w:val="24"/>
              </w:rPr>
            </w:pPr>
            <w:r>
              <w:rPr>
                <w:rFonts w:ascii="仿宋_GB2312" w:eastAsia="仿宋_GB2312" w:hint="eastAsia"/>
                <w:kern w:val="0"/>
                <w:sz w:val="24"/>
                <w:szCs w:val="24"/>
              </w:rPr>
              <w:t>10</w:t>
            </w:r>
          </w:p>
        </w:tc>
        <w:tc>
          <w:tcPr>
            <w:tcW w:w="3363" w:type="dxa"/>
            <w:vAlign w:val="center"/>
          </w:tcPr>
          <w:p w:rsidR="003A559B" w:rsidRDefault="009C0453">
            <w:pPr>
              <w:jc w:val="left"/>
              <w:rPr>
                <w:rFonts w:ascii="仿宋_GB2312" w:eastAsia="仿宋_GB2312"/>
                <w:kern w:val="0"/>
                <w:sz w:val="24"/>
                <w:szCs w:val="24"/>
              </w:rPr>
            </w:pPr>
            <w:r>
              <w:rPr>
                <w:rFonts w:ascii="仿宋_GB2312" w:eastAsia="仿宋_GB2312" w:hint="eastAsia"/>
                <w:kern w:val="0"/>
                <w:sz w:val="24"/>
                <w:szCs w:val="24"/>
              </w:rPr>
              <w:t>以“1”为标准，指标值越接近标准得分越高。</w:t>
            </w:r>
          </w:p>
        </w:tc>
      </w:tr>
      <w:tr w:rsidR="003A559B">
        <w:trPr>
          <w:trHeight w:val="663"/>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2.</w:t>
            </w:r>
            <w:proofErr w:type="gramStart"/>
            <w:r>
              <w:rPr>
                <w:rFonts w:ascii="仿宋_GB2312" w:eastAsia="仿宋_GB2312" w:hint="eastAsia"/>
                <w:sz w:val="24"/>
                <w:szCs w:val="24"/>
              </w:rPr>
              <w:t>保费征收</w:t>
            </w:r>
            <w:proofErr w:type="gramEnd"/>
            <w:r>
              <w:rPr>
                <w:rFonts w:ascii="仿宋_GB2312" w:eastAsia="仿宋_GB2312" w:hint="eastAsia"/>
                <w:sz w:val="24"/>
                <w:szCs w:val="24"/>
              </w:rPr>
              <w:t>计划完成率</w:t>
            </w:r>
          </w:p>
        </w:tc>
        <w:tc>
          <w:tcPr>
            <w:tcW w:w="4669" w:type="dxa"/>
            <w:vAlign w:val="center"/>
          </w:tcPr>
          <w:p w:rsidR="003A559B" w:rsidRDefault="009C0453">
            <w:pPr>
              <w:rPr>
                <w:rFonts w:ascii="仿宋_GB2312" w:eastAsia="仿宋_GB2312"/>
                <w:kern w:val="0"/>
                <w:sz w:val="24"/>
                <w:szCs w:val="24"/>
              </w:rPr>
            </w:pPr>
            <w:r>
              <w:rPr>
                <w:rFonts w:ascii="仿宋_GB2312" w:eastAsia="仿宋_GB2312" w:hint="eastAsia"/>
                <w:sz w:val="24"/>
                <w:szCs w:val="24"/>
              </w:rPr>
              <w:t>年度实际保费收入/年度计划征收保费额，用以衡量基金征缴力度。</w:t>
            </w:r>
          </w:p>
        </w:tc>
        <w:tc>
          <w:tcPr>
            <w:tcW w:w="713" w:type="dxa"/>
            <w:vAlign w:val="center"/>
          </w:tcPr>
          <w:p w:rsidR="003A559B" w:rsidRDefault="009C0453">
            <w:pPr>
              <w:jc w:val="center"/>
              <w:rPr>
                <w:rFonts w:ascii="仿宋_GB2312" w:eastAsia="仿宋_GB2312"/>
                <w:kern w:val="0"/>
                <w:sz w:val="24"/>
                <w:szCs w:val="24"/>
              </w:rPr>
            </w:pPr>
            <w:r>
              <w:rPr>
                <w:rFonts w:ascii="仿宋_GB2312" w:eastAsia="仿宋_GB2312" w:hint="eastAsia"/>
                <w:kern w:val="0"/>
                <w:sz w:val="24"/>
                <w:szCs w:val="24"/>
              </w:rPr>
              <w:t>10</w:t>
            </w:r>
          </w:p>
        </w:tc>
        <w:tc>
          <w:tcPr>
            <w:tcW w:w="3363" w:type="dxa"/>
            <w:vAlign w:val="center"/>
          </w:tcPr>
          <w:p w:rsidR="003A559B" w:rsidRDefault="009C0453">
            <w:pPr>
              <w:jc w:val="left"/>
              <w:rPr>
                <w:rFonts w:ascii="仿宋_GB2312" w:eastAsia="仿宋_GB2312"/>
                <w:kern w:val="0"/>
                <w:sz w:val="24"/>
                <w:szCs w:val="24"/>
              </w:rPr>
            </w:pPr>
            <w:r>
              <w:rPr>
                <w:rFonts w:ascii="仿宋_GB2312" w:eastAsia="仿宋_GB2312" w:hint="eastAsia"/>
                <w:kern w:val="0"/>
                <w:sz w:val="24"/>
                <w:szCs w:val="24"/>
              </w:rPr>
              <w:t>以“1”为标准，指标值大于等于“1”，10分；小于“1”减分，</w:t>
            </w:r>
            <w:r>
              <w:rPr>
                <w:rFonts w:ascii="仿宋_GB2312" w:eastAsia="仿宋_GB2312" w:hAnsi="楷体" w:hint="eastAsia"/>
                <w:kern w:val="0"/>
                <w:sz w:val="24"/>
                <w:szCs w:val="24"/>
              </w:rPr>
              <w:t>合理划分区间进行评分</w:t>
            </w:r>
            <w:r>
              <w:rPr>
                <w:rFonts w:ascii="仿宋_GB2312" w:eastAsia="仿宋_GB2312" w:hint="eastAsia"/>
                <w:kern w:val="0"/>
                <w:sz w:val="24"/>
                <w:szCs w:val="24"/>
              </w:rPr>
              <w:t>。</w:t>
            </w:r>
          </w:p>
        </w:tc>
      </w:tr>
      <w:tr w:rsidR="003A559B">
        <w:trPr>
          <w:trHeight w:hRule="exact" w:val="633"/>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rPr>
                <w:rFonts w:ascii="仿宋_GB2312" w:eastAsia="仿宋_GB2312"/>
                <w:sz w:val="24"/>
                <w:szCs w:val="24"/>
              </w:rPr>
            </w:pPr>
            <w:r>
              <w:rPr>
                <w:rFonts w:ascii="仿宋_GB2312" w:eastAsia="仿宋_GB2312" w:hint="eastAsia"/>
                <w:sz w:val="24"/>
                <w:szCs w:val="24"/>
              </w:rPr>
              <w:t>3.实际缴费率与名义（制度）缴费率的比率</w:t>
            </w:r>
          </w:p>
        </w:tc>
        <w:tc>
          <w:tcPr>
            <w:tcW w:w="4669" w:type="dxa"/>
            <w:vAlign w:val="center"/>
          </w:tcPr>
          <w:p w:rsidR="003A559B" w:rsidRDefault="009C0453">
            <w:pPr>
              <w:rPr>
                <w:rFonts w:ascii="仿宋_GB2312" w:eastAsia="仿宋_GB2312"/>
                <w:kern w:val="0"/>
                <w:sz w:val="24"/>
                <w:szCs w:val="24"/>
              </w:rPr>
            </w:pPr>
            <w:r>
              <w:rPr>
                <w:rFonts w:ascii="仿宋_GB2312" w:eastAsia="仿宋_GB2312" w:hint="eastAsia"/>
                <w:sz w:val="24"/>
                <w:szCs w:val="24"/>
              </w:rPr>
              <w:t>实际缴费率/名义（制度）缴费率，用以衡量参保人员的实际缴费费率水平。</w:t>
            </w:r>
          </w:p>
        </w:tc>
        <w:tc>
          <w:tcPr>
            <w:tcW w:w="713" w:type="dxa"/>
            <w:vAlign w:val="center"/>
          </w:tcPr>
          <w:p w:rsidR="003A559B" w:rsidRDefault="009C0453">
            <w:pPr>
              <w:jc w:val="center"/>
              <w:rPr>
                <w:rFonts w:ascii="仿宋_GB2312" w:eastAsia="仿宋_GB2312"/>
                <w:kern w:val="0"/>
                <w:sz w:val="24"/>
                <w:szCs w:val="24"/>
              </w:rPr>
            </w:pPr>
            <w:r>
              <w:rPr>
                <w:rFonts w:ascii="仿宋_GB2312" w:eastAsia="仿宋_GB2312" w:hint="eastAsia"/>
                <w:kern w:val="0"/>
                <w:sz w:val="24"/>
                <w:szCs w:val="24"/>
              </w:rPr>
              <w:t>5</w:t>
            </w:r>
          </w:p>
        </w:tc>
        <w:tc>
          <w:tcPr>
            <w:tcW w:w="3363" w:type="dxa"/>
            <w:vAlign w:val="center"/>
          </w:tcPr>
          <w:p w:rsidR="003A559B" w:rsidRDefault="009C0453">
            <w:pPr>
              <w:jc w:val="left"/>
              <w:rPr>
                <w:rFonts w:ascii="仿宋_GB2312" w:eastAsia="仿宋_GB2312"/>
                <w:kern w:val="0"/>
                <w:sz w:val="24"/>
                <w:szCs w:val="24"/>
              </w:rPr>
            </w:pPr>
            <w:r>
              <w:rPr>
                <w:rFonts w:ascii="仿宋_GB2312" w:eastAsia="仿宋_GB2312" w:hint="eastAsia"/>
                <w:kern w:val="0"/>
                <w:sz w:val="24"/>
                <w:szCs w:val="24"/>
              </w:rPr>
              <w:t>以“1”为标准，指标值越接近标准得分越高。</w:t>
            </w:r>
          </w:p>
        </w:tc>
      </w:tr>
      <w:tr w:rsidR="003A559B">
        <w:trPr>
          <w:trHeight w:hRule="exact" w:val="986"/>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rPr>
                <w:rFonts w:ascii="仿宋_GB2312" w:eastAsia="仿宋_GB2312"/>
                <w:sz w:val="24"/>
                <w:szCs w:val="24"/>
              </w:rPr>
            </w:pPr>
            <w:r>
              <w:rPr>
                <w:rFonts w:ascii="仿宋_GB2312" w:eastAsia="仿宋_GB2312" w:hint="eastAsia"/>
                <w:sz w:val="24"/>
                <w:szCs w:val="24"/>
              </w:rPr>
              <w:t>4.人均缴费基数相对增长率</w:t>
            </w:r>
          </w:p>
        </w:tc>
        <w:tc>
          <w:tcPr>
            <w:tcW w:w="4669" w:type="dxa"/>
            <w:vAlign w:val="center"/>
          </w:tcPr>
          <w:p w:rsidR="003A559B" w:rsidRDefault="009C0453">
            <w:pPr>
              <w:rPr>
                <w:rFonts w:ascii="仿宋_GB2312" w:eastAsia="仿宋_GB2312"/>
                <w:sz w:val="24"/>
                <w:szCs w:val="24"/>
              </w:rPr>
            </w:pPr>
            <w:r>
              <w:rPr>
                <w:rFonts w:ascii="仿宋_GB2312" w:eastAsia="仿宋_GB2312" w:hint="eastAsia"/>
                <w:sz w:val="24"/>
                <w:szCs w:val="24"/>
              </w:rPr>
              <w:t>年度参保职工人均缴费基数增长率/同期城镇在岗职工平均工资增长率，用以衡量缴费基数核定的准确性。</w:t>
            </w:r>
          </w:p>
        </w:tc>
        <w:tc>
          <w:tcPr>
            <w:tcW w:w="713" w:type="dxa"/>
            <w:vAlign w:val="center"/>
          </w:tcPr>
          <w:p w:rsidR="003A559B" w:rsidRDefault="009C0453">
            <w:pPr>
              <w:jc w:val="center"/>
              <w:rPr>
                <w:rFonts w:ascii="仿宋_GB2312" w:eastAsia="仿宋_GB2312"/>
                <w:kern w:val="0"/>
                <w:sz w:val="24"/>
                <w:szCs w:val="24"/>
              </w:rPr>
            </w:pPr>
            <w:r>
              <w:rPr>
                <w:rFonts w:ascii="仿宋_GB2312" w:eastAsia="仿宋_GB2312" w:hint="eastAsia"/>
                <w:kern w:val="0"/>
                <w:sz w:val="24"/>
                <w:szCs w:val="24"/>
              </w:rPr>
              <w:t>5</w:t>
            </w:r>
          </w:p>
        </w:tc>
        <w:tc>
          <w:tcPr>
            <w:tcW w:w="3363" w:type="dxa"/>
            <w:vAlign w:val="center"/>
          </w:tcPr>
          <w:p w:rsidR="003A559B" w:rsidRDefault="009C0453">
            <w:pPr>
              <w:jc w:val="left"/>
              <w:rPr>
                <w:rFonts w:ascii="仿宋_GB2312" w:eastAsia="仿宋_GB2312"/>
                <w:kern w:val="0"/>
                <w:sz w:val="24"/>
                <w:szCs w:val="24"/>
              </w:rPr>
            </w:pPr>
            <w:r>
              <w:rPr>
                <w:rFonts w:ascii="仿宋_GB2312" w:eastAsia="仿宋_GB2312" w:hint="eastAsia"/>
                <w:kern w:val="0"/>
                <w:sz w:val="24"/>
                <w:szCs w:val="24"/>
              </w:rPr>
              <w:t>以“1”为标准，指标值越接近标准得分越高。</w:t>
            </w:r>
          </w:p>
        </w:tc>
      </w:tr>
      <w:tr w:rsidR="003A559B">
        <w:trPr>
          <w:trHeight w:hRule="exact" w:val="725"/>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rPr>
                <w:rFonts w:ascii="仿宋_GB2312" w:eastAsia="仿宋_GB2312"/>
                <w:sz w:val="24"/>
                <w:szCs w:val="24"/>
              </w:rPr>
            </w:pPr>
            <w:r>
              <w:rPr>
                <w:rFonts w:ascii="仿宋_GB2312" w:eastAsia="仿宋_GB2312" w:hint="eastAsia"/>
                <w:sz w:val="24"/>
                <w:szCs w:val="24"/>
              </w:rPr>
              <w:t>5.财政补助资金到位率</w:t>
            </w:r>
          </w:p>
        </w:tc>
        <w:tc>
          <w:tcPr>
            <w:tcW w:w="4669" w:type="dxa"/>
            <w:vAlign w:val="center"/>
          </w:tcPr>
          <w:p w:rsidR="003A559B" w:rsidRDefault="009C0453">
            <w:pPr>
              <w:rPr>
                <w:rFonts w:ascii="仿宋_GB2312" w:eastAsia="仿宋_GB2312"/>
                <w:sz w:val="24"/>
                <w:szCs w:val="24"/>
              </w:rPr>
            </w:pPr>
            <w:r>
              <w:rPr>
                <w:rFonts w:ascii="仿宋_GB2312" w:eastAsia="仿宋_GB2312" w:hint="eastAsia"/>
                <w:sz w:val="24"/>
                <w:szCs w:val="24"/>
              </w:rPr>
              <w:t>年度财政补助实际到账数/年度财政补助预算数，用以衡量财政补助资金到位情况。</w:t>
            </w:r>
          </w:p>
        </w:tc>
        <w:tc>
          <w:tcPr>
            <w:tcW w:w="713" w:type="dxa"/>
            <w:vAlign w:val="center"/>
          </w:tcPr>
          <w:p w:rsidR="003A559B" w:rsidRDefault="009C0453">
            <w:pPr>
              <w:jc w:val="center"/>
              <w:rPr>
                <w:rFonts w:ascii="仿宋_GB2312" w:eastAsia="仿宋_GB2312"/>
                <w:kern w:val="0"/>
                <w:sz w:val="24"/>
                <w:szCs w:val="24"/>
              </w:rPr>
            </w:pPr>
            <w:r>
              <w:rPr>
                <w:rFonts w:ascii="仿宋_GB2312" w:eastAsia="仿宋_GB2312" w:hint="eastAsia"/>
                <w:kern w:val="0"/>
                <w:sz w:val="24"/>
                <w:szCs w:val="24"/>
              </w:rPr>
              <w:t>10</w:t>
            </w:r>
          </w:p>
        </w:tc>
        <w:tc>
          <w:tcPr>
            <w:tcW w:w="3363" w:type="dxa"/>
            <w:vAlign w:val="center"/>
          </w:tcPr>
          <w:p w:rsidR="003A559B" w:rsidRDefault="009C0453">
            <w:pPr>
              <w:jc w:val="left"/>
              <w:rPr>
                <w:rFonts w:ascii="仿宋_GB2312" w:eastAsia="仿宋_GB2312"/>
                <w:kern w:val="0"/>
                <w:sz w:val="24"/>
                <w:szCs w:val="24"/>
              </w:rPr>
            </w:pPr>
            <w:r>
              <w:rPr>
                <w:rFonts w:ascii="仿宋_GB2312" w:eastAsia="仿宋_GB2312" w:hint="eastAsia"/>
                <w:kern w:val="0"/>
                <w:sz w:val="24"/>
                <w:szCs w:val="24"/>
              </w:rPr>
              <w:t>以“1”为标准，指标值越接近标准得分越高。</w:t>
            </w:r>
          </w:p>
        </w:tc>
      </w:tr>
      <w:tr w:rsidR="003A559B">
        <w:trPr>
          <w:trHeight w:hRule="exact" w:val="1022"/>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6.基金年度收支结存率</w:t>
            </w:r>
          </w:p>
        </w:tc>
        <w:tc>
          <w:tcPr>
            <w:tcW w:w="4669" w:type="dxa"/>
            <w:vAlign w:val="center"/>
          </w:tcPr>
          <w:p w:rsidR="003A559B" w:rsidRDefault="009C0453">
            <w:pPr>
              <w:rPr>
                <w:rFonts w:ascii="仿宋_GB2312" w:eastAsia="仿宋_GB2312"/>
                <w:kern w:val="0"/>
                <w:sz w:val="24"/>
                <w:szCs w:val="24"/>
              </w:rPr>
            </w:pPr>
            <w:r>
              <w:rPr>
                <w:rFonts w:ascii="仿宋_GB2312" w:eastAsia="仿宋_GB2312" w:hint="eastAsia"/>
                <w:sz w:val="24"/>
                <w:szCs w:val="24"/>
              </w:rPr>
              <w:t>（年度基金收入-年度基金支出）/年度基金收入，用以衡量基金收入与支出之间的平衡度（扣除一次性收支等非正常因素影响）。</w:t>
            </w:r>
          </w:p>
        </w:tc>
        <w:tc>
          <w:tcPr>
            <w:tcW w:w="713" w:type="dxa"/>
            <w:vAlign w:val="center"/>
          </w:tcPr>
          <w:p w:rsidR="003A559B" w:rsidRDefault="009C0453">
            <w:pPr>
              <w:jc w:val="center"/>
              <w:rPr>
                <w:rFonts w:ascii="仿宋_GB2312" w:eastAsia="仿宋_GB2312"/>
                <w:kern w:val="0"/>
                <w:sz w:val="24"/>
                <w:szCs w:val="24"/>
              </w:rPr>
            </w:pPr>
            <w:r>
              <w:rPr>
                <w:rFonts w:ascii="仿宋_GB2312" w:eastAsia="仿宋_GB2312" w:hint="eastAsia"/>
                <w:kern w:val="0"/>
                <w:sz w:val="24"/>
                <w:szCs w:val="24"/>
              </w:rPr>
              <w:t>10</w:t>
            </w:r>
          </w:p>
        </w:tc>
        <w:tc>
          <w:tcPr>
            <w:tcW w:w="3363" w:type="dxa"/>
            <w:vAlign w:val="center"/>
          </w:tcPr>
          <w:p w:rsidR="003A559B" w:rsidRDefault="009C0453">
            <w:pPr>
              <w:jc w:val="left"/>
              <w:rPr>
                <w:rFonts w:ascii="仿宋_GB2312" w:eastAsia="仿宋_GB2312"/>
                <w:kern w:val="0"/>
                <w:sz w:val="24"/>
                <w:szCs w:val="24"/>
              </w:rPr>
            </w:pPr>
            <w:r>
              <w:rPr>
                <w:rFonts w:ascii="仿宋_GB2312" w:eastAsia="仿宋_GB2312" w:hint="eastAsia"/>
                <w:kern w:val="0"/>
                <w:sz w:val="24"/>
                <w:szCs w:val="24"/>
              </w:rPr>
              <w:t>以“0”为标准</w:t>
            </w:r>
            <w:r>
              <w:rPr>
                <w:rFonts w:ascii="仿宋_GB2312" w:eastAsia="仿宋_GB2312" w:hAnsi="楷体" w:hint="eastAsia"/>
                <w:kern w:val="0"/>
                <w:sz w:val="24"/>
                <w:szCs w:val="24"/>
              </w:rPr>
              <w:t>，指标值低于标准的为零分；高于标准的，合理划分区间进行评分。</w:t>
            </w:r>
          </w:p>
        </w:tc>
      </w:tr>
      <w:tr w:rsidR="003A559B">
        <w:trPr>
          <w:trHeight w:hRule="exact" w:val="982"/>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rPr>
                <w:rFonts w:ascii="仿宋_GB2312" w:eastAsia="仿宋_GB2312"/>
                <w:sz w:val="24"/>
                <w:szCs w:val="24"/>
              </w:rPr>
            </w:pPr>
            <w:r>
              <w:rPr>
                <w:rFonts w:ascii="仿宋_GB2312" w:eastAsia="仿宋_GB2312" w:hint="eastAsia"/>
                <w:sz w:val="24"/>
                <w:szCs w:val="24"/>
              </w:rPr>
              <w:t>7.基金收支增长率之比</w:t>
            </w:r>
          </w:p>
        </w:tc>
        <w:tc>
          <w:tcPr>
            <w:tcW w:w="4669" w:type="dxa"/>
            <w:vAlign w:val="center"/>
          </w:tcPr>
          <w:p w:rsidR="003A559B" w:rsidRDefault="009C0453">
            <w:pPr>
              <w:rPr>
                <w:rFonts w:ascii="仿宋_GB2312" w:eastAsia="仿宋_GB2312"/>
                <w:sz w:val="24"/>
                <w:szCs w:val="24"/>
              </w:rPr>
            </w:pPr>
            <w:r>
              <w:rPr>
                <w:rFonts w:ascii="仿宋_GB2312" w:eastAsia="仿宋_GB2312" w:hint="eastAsia"/>
                <w:sz w:val="24"/>
                <w:szCs w:val="24"/>
              </w:rPr>
              <w:t>年度基金收入增长率/基金支出增长率，用以衡量基金收支平衡能力的变化情况。</w:t>
            </w:r>
          </w:p>
        </w:tc>
        <w:tc>
          <w:tcPr>
            <w:tcW w:w="713" w:type="dxa"/>
            <w:vAlign w:val="center"/>
          </w:tcPr>
          <w:p w:rsidR="003A559B" w:rsidRDefault="009C0453">
            <w:pPr>
              <w:jc w:val="center"/>
              <w:rPr>
                <w:rFonts w:ascii="仿宋_GB2312" w:eastAsia="仿宋_GB2312"/>
                <w:kern w:val="0"/>
                <w:sz w:val="24"/>
                <w:szCs w:val="24"/>
              </w:rPr>
            </w:pPr>
            <w:r>
              <w:rPr>
                <w:rFonts w:ascii="仿宋_GB2312" w:eastAsia="仿宋_GB2312" w:hint="eastAsia"/>
                <w:kern w:val="0"/>
                <w:sz w:val="24"/>
                <w:szCs w:val="24"/>
              </w:rPr>
              <w:t>5</w:t>
            </w:r>
          </w:p>
        </w:tc>
        <w:tc>
          <w:tcPr>
            <w:tcW w:w="3363" w:type="dxa"/>
            <w:vAlign w:val="center"/>
          </w:tcPr>
          <w:p w:rsidR="003A559B" w:rsidRDefault="009C0453">
            <w:pPr>
              <w:jc w:val="left"/>
              <w:rPr>
                <w:rFonts w:ascii="仿宋_GB2312" w:eastAsia="仿宋_GB2312"/>
                <w:kern w:val="0"/>
                <w:sz w:val="24"/>
                <w:szCs w:val="24"/>
              </w:rPr>
            </w:pPr>
            <w:r>
              <w:rPr>
                <w:rFonts w:ascii="仿宋_GB2312" w:eastAsia="仿宋_GB2312" w:hint="eastAsia"/>
                <w:kern w:val="0"/>
                <w:sz w:val="24"/>
                <w:szCs w:val="24"/>
              </w:rPr>
              <w:t>以“1”为标准</w:t>
            </w:r>
            <w:r>
              <w:rPr>
                <w:rFonts w:ascii="仿宋_GB2312" w:eastAsia="仿宋_GB2312" w:hAnsi="楷体" w:hint="eastAsia"/>
                <w:kern w:val="0"/>
                <w:sz w:val="24"/>
                <w:szCs w:val="24"/>
              </w:rPr>
              <w:t>，指标值低于标准的为零分；高于标准的，合理划</w:t>
            </w:r>
            <w:r>
              <w:rPr>
                <w:rFonts w:ascii="仿宋_GB2312" w:eastAsia="仿宋_GB2312" w:hAnsi="楷体" w:hint="eastAsia"/>
                <w:sz w:val="24"/>
                <w:szCs w:val="24"/>
              </w:rPr>
              <w:t>分区间进行评分</w:t>
            </w:r>
            <w:r>
              <w:rPr>
                <w:rFonts w:ascii="仿宋_GB2312" w:eastAsia="仿宋_GB2312" w:hAnsi="楷体" w:hint="eastAsia"/>
                <w:kern w:val="0"/>
                <w:sz w:val="24"/>
                <w:szCs w:val="24"/>
              </w:rPr>
              <w:t>。</w:t>
            </w:r>
          </w:p>
        </w:tc>
      </w:tr>
      <w:tr w:rsidR="003A559B">
        <w:trPr>
          <w:trHeight w:hRule="exact" w:val="734"/>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8.基金结余可支付月数</w:t>
            </w:r>
          </w:p>
        </w:tc>
        <w:tc>
          <w:tcPr>
            <w:tcW w:w="4669" w:type="dxa"/>
            <w:vAlign w:val="center"/>
          </w:tcPr>
          <w:p w:rsidR="003A559B" w:rsidRDefault="009C0453">
            <w:pPr>
              <w:rPr>
                <w:rFonts w:ascii="仿宋_GB2312" w:eastAsia="仿宋_GB2312"/>
                <w:sz w:val="24"/>
                <w:szCs w:val="24"/>
              </w:rPr>
            </w:pPr>
            <w:r>
              <w:rPr>
                <w:rFonts w:ascii="仿宋_GB2312" w:eastAsia="仿宋_GB2312" w:hint="eastAsia"/>
                <w:sz w:val="24"/>
                <w:szCs w:val="24"/>
              </w:rPr>
              <w:t>基金累计结余/基金上年度月均支出额，用以衡量基金</w:t>
            </w:r>
            <w:proofErr w:type="gramStart"/>
            <w:r>
              <w:rPr>
                <w:rFonts w:ascii="仿宋_GB2312" w:eastAsia="仿宋_GB2312" w:hint="eastAsia"/>
                <w:sz w:val="24"/>
                <w:szCs w:val="24"/>
              </w:rPr>
              <w:t>存量保障</w:t>
            </w:r>
            <w:proofErr w:type="gramEnd"/>
            <w:r>
              <w:rPr>
                <w:rFonts w:ascii="仿宋_GB2312" w:eastAsia="仿宋_GB2312" w:hint="eastAsia"/>
                <w:sz w:val="24"/>
                <w:szCs w:val="24"/>
              </w:rPr>
              <w:t>支付的能力。</w:t>
            </w:r>
          </w:p>
        </w:tc>
        <w:tc>
          <w:tcPr>
            <w:tcW w:w="713" w:type="dxa"/>
            <w:vAlign w:val="center"/>
          </w:tcPr>
          <w:p w:rsidR="003A559B" w:rsidRDefault="009C0453">
            <w:pPr>
              <w:jc w:val="center"/>
              <w:rPr>
                <w:rFonts w:ascii="仿宋_GB2312" w:eastAsia="仿宋_GB2312"/>
                <w:kern w:val="0"/>
                <w:sz w:val="24"/>
                <w:szCs w:val="24"/>
              </w:rPr>
            </w:pPr>
            <w:r>
              <w:rPr>
                <w:rFonts w:ascii="仿宋_GB2312" w:eastAsia="仿宋_GB2312" w:hint="eastAsia"/>
                <w:kern w:val="0"/>
                <w:sz w:val="24"/>
                <w:szCs w:val="24"/>
              </w:rPr>
              <w:t>10</w:t>
            </w:r>
          </w:p>
        </w:tc>
        <w:tc>
          <w:tcPr>
            <w:tcW w:w="3363" w:type="dxa"/>
            <w:vAlign w:val="center"/>
          </w:tcPr>
          <w:p w:rsidR="003A559B" w:rsidRDefault="009C0453">
            <w:pPr>
              <w:rPr>
                <w:rFonts w:ascii="仿宋_GB2312" w:eastAsia="仿宋_GB2312"/>
                <w:kern w:val="0"/>
                <w:sz w:val="24"/>
                <w:szCs w:val="24"/>
              </w:rPr>
            </w:pPr>
            <w:r>
              <w:rPr>
                <w:rFonts w:ascii="仿宋_GB2312" w:eastAsia="仿宋_GB2312" w:hint="eastAsia"/>
                <w:kern w:val="0"/>
                <w:sz w:val="24"/>
                <w:szCs w:val="24"/>
              </w:rPr>
              <w:t>以制度规定为评分标准，</w:t>
            </w:r>
            <w:r>
              <w:rPr>
                <w:rFonts w:ascii="仿宋_GB2312" w:eastAsia="仿宋_GB2312" w:hAnsi="楷体" w:hint="eastAsia"/>
                <w:kern w:val="0"/>
                <w:sz w:val="24"/>
                <w:szCs w:val="24"/>
              </w:rPr>
              <w:t>指标值</w:t>
            </w:r>
            <w:r>
              <w:rPr>
                <w:rFonts w:ascii="仿宋_GB2312" w:eastAsia="仿宋_GB2312" w:hint="eastAsia"/>
                <w:kern w:val="0"/>
                <w:sz w:val="24"/>
                <w:szCs w:val="24"/>
              </w:rPr>
              <w:t>低于标准减分。</w:t>
            </w:r>
          </w:p>
        </w:tc>
      </w:tr>
      <w:tr w:rsidR="003A559B">
        <w:trPr>
          <w:trHeight w:hRule="exact" w:val="1960"/>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restart"/>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资产管</w:t>
            </w:r>
          </w:p>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理质量</w:t>
            </w:r>
          </w:p>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（共35分）</w:t>
            </w: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9.基金风险存款比重</w:t>
            </w:r>
          </w:p>
        </w:tc>
        <w:tc>
          <w:tcPr>
            <w:tcW w:w="4669"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开设在规定以外的商业银行、非银行金融机构的基金专户存款额/基金银行存款总额，用于衡量基金存款安全性和可能存在的存款兑现风险。</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5</w:t>
            </w:r>
          </w:p>
        </w:tc>
        <w:tc>
          <w:tcPr>
            <w:tcW w:w="3363" w:type="dxa"/>
            <w:vAlign w:val="center"/>
          </w:tcPr>
          <w:p w:rsidR="003A559B" w:rsidRDefault="009C0453">
            <w:pPr>
              <w:adjustRightInd w:val="0"/>
              <w:snapToGrid w:val="0"/>
              <w:jc w:val="left"/>
              <w:rPr>
                <w:rFonts w:ascii="仿宋_GB2312" w:eastAsia="仿宋_GB2312"/>
                <w:sz w:val="24"/>
                <w:szCs w:val="24"/>
              </w:rPr>
            </w:pPr>
            <w:r>
              <w:rPr>
                <w:rFonts w:ascii="仿宋_GB2312" w:eastAsia="仿宋_GB2312" w:hint="eastAsia"/>
                <w:sz w:val="24"/>
                <w:szCs w:val="24"/>
              </w:rPr>
              <w:t>指标值为0的，得5分；指标值大于0的，如存在非银行金融机构存款的，得0分；如只在规定以外商业银行开设基金专户的，根据其存款占比的大小划分区间扣减分值。</w:t>
            </w:r>
          </w:p>
        </w:tc>
      </w:tr>
      <w:tr w:rsidR="003A559B">
        <w:trPr>
          <w:trHeight w:hRule="exact" w:val="2029"/>
        </w:trPr>
        <w:tc>
          <w:tcPr>
            <w:tcW w:w="1080" w:type="dxa"/>
            <w:vMerge/>
            <w:vAlign w:val="center"/>
          </w:tcPr>
          <w:p w:rsidR="003A559B" w:rsidRDefault="003A559B">
            <w:pPr>
              <w:adjustRightInd w:val="0"/>
              <w:snapToGrid w:val="0"/>
              <w:jc w:val="left"/>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10.基金收益率</w:t>
            </w:r>
          </w:p>
        </w:tc>
        <w:tc>
          <w:tcPr>
            <w:tcW w:w="4669"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年度基金利息收入/基金累计结余季度平均值，其中年度基金利息收入应按权责发生制对一年期以上定期存款、中长期国债、委托投资收益等进行调整后再确定，用于衡量基金收益情况，当前主要反映基金银行存款结构的合理性。</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10</w:t>
            </w:r>
          </w:p>
        </w:tc>
        <w:tc>
          <w:tcPr>
            <w:tcW w:w="3363" w:type="dxa"/>
            <w:vAlign w:val="center"/>
          </w:tcPr>
          <w:p w:rsidR="003A559B" w:rsidRDefault="009C0453">
            <w:pPr>
              <w:adjustRightInd w:val="0"/>
              <w:snapToGrid w:val="0"/>
              <w:jc w:val="left"/>
              <w:rPr>
                <w:rFonts w:ascii="仿宋_GB2312" w:eastAsia="仿宋_GB2312"/>
                <w:sz w:val="24"/>
                <w:szCs w:val="24"/>
              </w:rPr>
            </w:pPr>
            <w:r>
              <w:rPr>
                <w:rFonts w:ascii="仿宋_GB2312" w:eastAsia="仿宋_GB2312" w:hint="eastAsia"/>
                <w:sz w:val="24"/>
                <w:szCs w:val="24"/>
              </w:rPr>
              <w:t>以银行一年期定期存款利率为基准，分区间进行评分。</w:t>
            </w:r>
          </w:p>
        </w:tc>
      </w:tr>
      <w:tr w:rsidR="003A559B">
        <w:trPr>
          <w:trHeight w:hRule="exact" w:val="1060"/>
        </w:trPr>
        <w:tc>
          <w:tcPr>
            <w:tcW w:w="1080" w:type="dxa"/>
            <w:vMerge/>
            <w:vAlign w:val="center"/>
          </w:tcPr>
          <w:p w:rsidR="003A559B" w:rsidRDefault="003A559B">
            <w:pPr>
              <w:adjustRightInd w:val="0"/>
              <w:snapToGrid w:val="0"/>
              <w:jc w:val="left"/>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11.基金流动资产保障比</w:t>
            </w:r>
          </w:p>
        </w:tc>
        <w:tc>
          <w:tcPr>
            <w:tcW w:w="4669"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基金期末活期存款余额/年度基金月均支出额，用于衡量资产流动性管理能力和可能存在的流动性风险。</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5</w:t>
            </w:r>
          </w:p>
        </w:tc>
        <w:tc>
          <w:tcPr>
            <w:tcW w:w="3363" w:type="dxa"/>
            <w:vAlign w:val="center"/>
          </w:tcPr>
          <w:p w:rsidR="003A559B" w:rsidRDefault="009C0453">
            <w:pPr>
              <w:adjustRightInd w:val="0"/>
              <w:snapToGrid w:val="0"/>
              <w:jc w:val="left"/>
              <w:rPr>
                <w:rFonts w:ascii="仿宋_GB2312" w:eastAsia="仿宋_GB2312"/>
                <w:sz w:val="24"/>
                <w:szCs w:val="24"/>
              </w:rPr>
            </w:pPr>
            <w:r>
              <w:rPr>
                <w:rFonts w:ascii="仿宋_GB2312" w:eastAsia="仿宋_GB2312" w:hint="eastAsia"/>
                <w:sz w:val="24"/>
                <w:szCs w:val="24"/>
              </w:rPr>
              <w:t>以留足2个月保障能力为基准，在1—3个月之间的得5分，超出浮动范围的减分。</w:t>
            </w:r>
          </w:p>
        </w:tc>
      </w:tr>
      <w:tr w:rsidR="003A559B">
        <w:trPr>
          <w:trHeight w:val="1023"/>
        </w:trPr>
        <w:tc>
          <w:tcPr>
            <w:tcW w:w="1080" w:type="dxa"/>
            <w:vMerge/>
            <w:vAlign w:val="center"/>
          </w:tcPr>
          <w:p w:rsidR="003A559B" w:rsidRDefault="003A559B">
            <w:pPr>
              <w:adjustRightInd w:val="0"/>
              <w:snapToGrid w:val="0"/>
              <w:jc w:val="left"/>
              <w:rPr>
                <w:rFonts w:ascii="仿宋_GB2312" w:eastAsia="仿宋_GB2312" w:hAnsi="楷体"/>
                <w:kern w:val="0"/>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12.临时借款比率</w:t>
            </w:r>
          </w:p>
        </w:tc>
        <w:tc>
          <w:tcPr>
            <w:tcW w:w="4669"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基金期末临时借款余额/期末资产总额。用于衡量资产负债情况。</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10</w:t>
            </w:r>
          </w:p>
        </w:tc>
        <w:tc>
          <w:tcPr>
            <w:tcW w:w="3363" w:type="dxa"/>
            <w:vAlign w:val="center"/>
          </w:tcPr>
          <w:p w:rsidR="003A559B" w:rsidRDefault="009C0453">
            <w:pPr>
              <w:adjustRightInd w:val="0"/>
              <w:snapToGrid w:val="0"/>
              <w:jc w:val="left"/>
              <w:rPr>
                <w:rFonts w:ascii="仿宋_GB2312" w:eastAsia="仿宋_GB2312" w:hAnsi="楷体"/>
                <w:kern w:val="0"/>
                <w:sz w:val="24"/>
                <w:szCs w:val="24"/>
              </w:rPr>
            </w:pPr>
            <w:r>
              <w:rPr>
                <w:rFonts w:ascii="仿宋_GB2312" w:eastAsia="仿宋_GB2312" w:hAnsi="楷体" w:hint="eastAsia"/>
                <w:kern w:val="0"/>
                <w:sz w:val="24"/>
                <w:szCs w:val="24"/>
              </w:rPr>
              <w:t>以“0”为标准，指标值高于标准的减分，合理划</w:t>
            </w:r>
            <w:r>
              <w:rPr>
                <w:rFonts w:ascii="仿宋_GB2312" w:eastAsia="仿宋_GB2312" w:hAnsi="楷体" w:hint="eastAsia"/>
                <w:sz w:val="24"/>
                <w:szCs w:val="24"/>
              </w:rPr>
              <w:t>分区间进行评分</w:t>
            </w:r>
            <w:r>
              <w:rPr>
                <w:rFonts w:ascii="仿宋_GB2312" w:eastAsia="仿宋_GB2312" w:hAnsi="楷体" w:hint="eastAsia"/>
                <w:kern w:val="0"/>
                <w:sz w:val="24"/>
                <w:szCs w:val="24"/>
              </w:rPr>
              <w:t>。</w:t>
            </w:r>
          </w:p>
        </w:tc>
      </w:tr>
      <w:tr w:rsidR="003A559B">
        <w:trPr>
          <w:trHeight w:val="784"/>
        </w:trPr>
        <w:tc>
          <w:tcPr>
            <w:tcW w:w="1080" w:type="dxa"/>
            <w:vMerge/>
            <w:vAlign w:val="center"/>
          </w:tcPr>
          <w:p w:rsidR="003A559B" w:rsidRDefault="003A559B">
            <w:pPr>
              <w:adjustRightInd w:val="0"/>
              <w:snapToGrid w:val="0"/>
              <w:jc w:val="left"/>
              <w:rPr>
                <w:rFonts w:ascii="仿宋_GB2312" w:eastAsia="仿宋_GB2312" w:hAnsi="楷体"/>
                <w:kern w:val="0"/>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13.欠费清欠率</w:t>
            </w:r>
          </w:p>
        </w:tc>
        <w:tc>
          <w:tcPr>
            <w:tcW w:w="4669"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本年度清欠的历年欠费额/上年末欠费额，用以衡量对社保欠费的清欠和管理状况。</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5</w:t>
            </w:r>
          </w:p>
        </w:tc>
        <w:tc>
          <w:tcPr>
            <w:tcW w:w="3363" w:type="dxa"/>
            <w:vAlign w:val="center"/>
          </w:tcPr>
          <w:p w:rsidR="003A559B" w:rsidRDefault="009C0453">
            <w:pPr>
              <w:adjustRightInd w:val="0"/>
              <w:snapToGrid w:val="0"/>
              <w:jc w:val="left"/>
              <w:rPr>
                <w:rFonts w:ascii="仿宋_GB2312" w:eastAsia="仿宋_GB2312"/>
                <w:sz w:val="24"/>
                <w:szCs w:val="24"/>
              </w:rPr>
            </w:pPr>
            <w:r>
              <w:rPr>
                <w:rFonts w:ascii="仿宋_GB2312" w:eastAsia="仿宋_GB2312" w:hint="eastAsia"/>
                <w:kern w:val="0"/>
                <w:sz w:val="24"/>
                <w:szCs w:val="24"/>
              </w:rPr>
              <w:t>以“1”为标准，指标值越接近标准得分越高。</w:t>
            </w:r>
          </w:p>
        </w:tc>
      </w:tr>
      <w:tr w:rsidR="003A559B">
        <w:trPr>
          <w:trHeight w:hRule="exact" w:val="404"/>
        </w:trPr>
        <w:tc>
          <w:tcPr>
            <w:tcW w:w="1080" w:type="dxa"/>
            <w:vMerge w:val="restart"/>
            <w:vAlign w:val="center"/>
          </w:tcPr>
          <w:p w:rsidR="003A559B" w:rsidRDefault="009C0453" w:rsidP="00A010D2">
            <w:pPr>
              <w:adjustRightInd w:val="0"/>
              <w:snapToGrid w:val="0"/>
              <w:jc w:val="center"/>
              <w:rPr>
                <w:rFonts w:ascii="仿宋_GB2312" w:eastAsia="仿宋_GB2312"/>
                <w:sz w:val="24"/>
                <w:szCs w:val="24"/>
              </w:rPr>
            </w:pPr>
            <w:r>
              <w:rPr>
                <w:rFonts w:ascii="仿宋_GB2312" w:eastAsia="仿宋_GB2312" w:hint="eastAsia"/>
                <w:sz w:val="24"/>
                <w:szCs w:val="24"/>
              </w:rPr>
              <w:lastRenderedPageBreak/>
              <w:t>基金风险管控状况（共100分）</w:t>
            </w:r>
          </w:p>
        </w:tc>
        <w:tc>
          <w:tcPr>
            <w:tcW w:w="1410" w:type="dxa"/>
            <w:vMerge w:val="restart"/>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经办机构内部控制情况</w:t>
            </w:r>
          </w:p>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（共50分）</w:t>
            </w: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1.组织机构情况</w:t>
            </w:r>
          </w:p>
        </w:tc>
        <w:tc>
          <w:tcPr>
            <w:tcW w:w="4669" w:type="dxa"/>
            <w:vMerge w:val="restart"/>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根据部社保中心开展的社会保险经办机构内部控制评估评分结果确定，用于衡量经办机构内控制度建立执行情况。</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6</w:t>
            </w:r>
          </w:p>
        </w:tc>
        <w:tc>
          <w:tcPr>
            <w:tcW w:w="3363" w:type="dxa"/>
            <w:vMerge w:val="restart"/>
            <w:vAlign w:val="center"/>
          </w:tcPr>
          <w:p w:rsidR="003A559B" w:rsidRDefault="009C0453">
            <w:pPr>
              <w:adjustRightInd w:val="0"/>
              <w:snapToGrid w:val="0"/>
              <w:jc w:val="left"/>
              <w:rPr>
                <w:rFonts w:ascii="仿宋_GB2312" w:eastAsia="仿宋_GB2312"/>
                <w:sz w:val="24"/>
                <w:szCs w:val="24"/>
              </w:rPr>
            </w:pPr>
            <w:proofErr w:type="gramStart"/>
            <w:r>
              <w:rPr>
                <w:rFonts w:ascii="仿宋_GB2312" w:eastAsia="仿宋_GB2312" w:hint="eastAsia"/>
                <w:sz w:val="24"/>
                <w:szCs w:val="24"/>
              </w:rPr>
              <w:t>参见部</w:t>
            </w:r>
            <w:proofErr w:type="gramEnd"/>
            <w:r>
              <w:rPr>
                <w:rFonts w:ascii="仿宋_GB2312" w:eastAsia="仿宋_GB2312" w:hint="eastAsia"/>
                <w:sz w:val="24"/>
                <w:szCs w:val="24"/>
              </w:rPr>
              <w:t>社保中心开展的社会保险经办机构内部控制评估评分规则（社保中心函[2009]32号）</w:t>
            </w:r>
            <w:r>
              <w:rPr>
                <w:rFonts w:ascii="仿宋_GB2312" w:eastAsia="仿宋_GB2312" w:hAnsi="楷体" w:hint="eastAsia"/>
                <w:kern w:val="0"/>
                <w:sz w:val="24"/>
                <w:szCs w:val="24"/>
              </w:rPr>
              <w:t>。</w:t>
            </w:r>
          </w:p>
        </w:tc>
      </w:tr>
      <w:tr w:rsidR="003A559B">
        <w:trPr>
          <w:trHeight w:hRule="exact" w:val="447"/>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2.业务运行管理情况</w:t>
            </w:r>
          </w:p>
        </w:tc>
        <w:tc>
          <w:tcPr>
            <w:tcW w:w="4669" w:type="dxa"/>
            <w:vMerge/>
            <w:vAlign w:val="center"/>
          </w:tcPr>
          <w:p w:rsidR="003A559B" w:rsidRDefault="003A559B">
            <w:pPr>
              <w:adjustRightInd w:val="0"/>
              <w:snapToGrid w:val="0"/>
              <w:rPr>
                <w:rFonts w:ascii="仿宋_GB2312" w:eastAsia="仿宋_GB2312"/>
                <w:sz w:val="24"/>
                <w:szCs w:val="24"/>
              </w:rPr>
            </w:pP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12</w:t>
            </w:r>
          </w:p>
        </w:tc>
        <w:tc>
          <w:tcPr>
            <w:tcW w:w="3363" w:type="dxa"/>
            <w:vMerge/>
            <w:vAlign w:val="center"/>
          </w:tcPr>
          <w:p w:rsidR="003A559B" w:rsidRDefault="003A559B">
            <w:pPr>
              <w:adjustRightInd w:val="0"/>
              <w:snapToGrid w:val="0"/>
              <w:jc w:val="left"/>
              <w:rPr>
                <w:rFonts w:ascii="仿宋_GB2312" w:eastAsia="仿宋_GB2312"/>
                <w:sz w:val="24"/>
                <w:szCs w:val="24"/>
              </w:rPr>
            </w:pPr>
          </w:p>
        </w:tc>
      </w:tr>
      <w:tr w:rsidR="003A559B">
        <w:trPr>
          <w:trHeight w:hRule="exact" w:val="387"/>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3.基金财务管理情况</w:t>
            </w:r>
          </w:p>
        </w:tc>
        <w:tc>
          <w:tcPr>
            <w:tcW w:w="4669" w:type="dxa"/>
            <w:vMerge/>
            <w:vAlign w:val="center"/>
          </w:tcPr>
          <w:p w:rsidR="003A559B" w:rsidRDefault="003A559B">
            <w:pPr>
              <w:adjustRightInd w:val="0"/>
              <w:snapToGrid w:val="0"/>
              <w:rPr>
                <w:rFonts w:ascii="仿宋_GB2312" w:eastAsia="仿宋_GB2312"/>
                <w:sz w:val="24"/>
                <w:szCs w:val="24"/>
              </w:rPr>
            </w:pP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12</w:t>
            </w:r>
          </w:p>
        </w:tc>
        <w:tc>
          <w:tcPr>
            <w:tcW w:w="3363" w:type="dxa"/>
            <w:vMerge/>
            <w:vAlign w:val="center"/>
          </w:tcPr>
          <w:p w:rsidR="003A559B" w:rsidRDefault="003A559B">
            <w:pPr>
              <w:adjustRightInd w:val="0"/>
              <w:snapToGrid w:val="0"/>
              <w:jc w:val="left"/>
              <w:rPr>
                <w:rFonts w:ascii="仿宋_GB2312" w:eastAsia="仿宋_GB2312"/>
                <w:sz w:val="24"/>
                <w:szCs w:val="24"/>
              </w:rPr>
            </w:pPr>
          </w:p>
        </w:tc>
      </w:tr>
      <w:tr w:rsidR="003A559B">
        <w:trPr>
          <w:trHeight w:hRule="exact" w:val="422"/>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4.信息系统管理情况</w:t>
            </w:r>
          </w:p>
        </w:tc>
        <w:tc>
          <w:tcPr>
            <w:tcW w:w="4669" w:type="dxa"/>
            <w:vMerge/>
            <w:vAlign w:val="center"/>
          </w:tcPr>
          <w:p w:rsidR="003A559B" w:rsidRDefault="003A559B">
            <w:pPr>
              <w:adjustRightInd w:val="0"/>
              <w:snapToGrid w:val="0"/>
              <w:rPr>
                <w:rFonts w:ascii="仿宋_GB2312" w:eastAsia="仿宋_GB2312"/>
                <w:sz w:val="24"/>
                <w:szCs w:val="24"/>
              </w:rPr>
            </w:pP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11</w:t>
            </w:r>
          </w:p>
        </w:tc>
        <w:tc>
          <w:tcPr>
            <w:tcW w:w="3363" w:type="dxa"/>
            <w:vMerge/>
            <w:vAlign w:val="center"/>
          </w:tcPr>
          <w:p w:rsidR="003A559B" w:rsidRDefault="003A559B">
            <w:pPr>
              <w:adjustRightInd w:val="0"/>
              <w:snapToGrid w:val="0"/>
              <w:jc w:val="left"/>
              <w:rPr>
                <w:rFonts w:ascii="仿宋_GB2312" w:eastAsia="仿宋_GB2312"/>
                <w:sz w:val="24"/>
                <w:szCs w:val="24"/>
              </w:rPr>
            </w:pPr>
          </w:p>
        </w:tc>
      </w:tr>
      <w:tr w:rsidR="003A559B">
        <w:trPr>
          <w:trHeight w:hRule="exact" w:val="438"/>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5.内部控制管理监督情况</w:t>
            </w:r>
          </w:p>
        </w:tc>
        <w:tc>
          <w:tcPr>
            <w:tcW w:w="4669" w:type="dxa"/>
            <w:vMerge/>
            <w:vAlign w:val="center"/>
          </w:tcPr>
          <w:p w:rsidR="003A559B" w:rsidRDefault="003A559B">
            <w:pPr>
              <w:adjustRightInd w:val="0"/>
              <w:snapToGrid w:val="0"/>
              <w:rPr>
                <w:rFonts w:ascii="仿宋_GB2312" w:eastAsia="仿宋_GB2312"/>
                <w:sz w:val="24"/>
                <w:szCs w:val="24"/>
              </w:rPr>
            </w:pP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9</w:t>
            </w:r>
          </w:p>
        </w:tc>
        <w:tc>
          <w:tcPr>
            <w:tcW w:w="3363" w:type="dxa"/>
            <w:vMerge/>
            <w:vAlign w:val="center"/>
          </w:tcPr>
          <w:p w:rsidR="003A559B" w:rsidRDefault="003A559B">
            <w:pPr>
              <w:adjustRightInd w:val="0"/>
              <w:snapToGrid w:val="0"/>
              <w:jc w:val="left"/>
              <w:rPr>
                <w:rFonts w:ascii="仿宋_GB2312" w:eastAsia="仿宋_GB2312"/>
                <w:sz w:val="24"/>
                <w:szCs w:val="24"/>
              </w:rPr>
            </w:pPr>
          </w:p>
        </w:tc>
      </w:tr>
      <w:tr w:rsidR="003A559B">
        <w:trPr>
          <w:trHeight w:hRule="exact" w:val="1412"/>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restart"/>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基金违法违规情况（共50分）</w:t>
            </w: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6.挤占挪用基金情况</w:t>
            </w:r>
          </w:p>
        </w:tc>
        <w:tc>
          <w:tcPr>
            <w:tcW w:w="4669"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用于衡量社会保险行政部门、经办机构、基金财政专户管理机构、社会保险费征收机构等相关工作机构、工作人员违法违规要</w:t>
            </w:r>
            <w:proofErr w:type="gramStart"/>
            <w:r>
              <w:rPr>
                <w:rFonts w:ascii="仿宋_GB2312" w:eastAsia="仿宋_GB2312" w:hint="eastAsia"/>
                <w:sz w:val="24"/>
                <w:szCs w:val="24"/>
              </w:rPr>
              <w:t>情发生</w:t>
            </w:r>
            <w:proofErr w:type="gramEnd"/>
            <w:r>
              <w:rPr>
                <w:rFonts w:ascii="仿宋_GB2312" w:eastAsia="仿宋_GB2312" w:hint="eastAsia"/>
                <w:sz w:val="24"/>
                <w:szCs w:val="24"/>
              </w:rPr>
              <w:t>情况。</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20</w:t>
            </w:r>
          </w:p>
        </w:tc>
        <w:tc>
          <w:tcPr>
            <w:tcW w:w="3363" w:type="dxa"/>
            <w:vAlign w:val="center"/>
          </w:tcPr>
          <w:p w:rsidR="003A559B" w:rsidRDefault="009C0453">
            <w:pPr>
              <w:adjustRightInd w:val="0"/>
              <w:snapToGrid w:val="0"/>
              <w:jc w:val="left"/>
              <w:rPr>
                <w:rFonts w:ascii="仿宋_GB2312" w:eastAsia="仿宋_GB2312"/>
                <w:sz w:val="24"/>
                <w:szCs w:val="24"/>
              </w:rPr>
            </w:pPr>
            <w:r>
              <w:rPr>
                <w:rFonts w:ascii="仿宋_GB2312" w:eastAsia="仿宋_GB2312" w:hint="eastAsia"/>
                <w:sz w:val="24"/>
                <w:szCs w:val="24"/>
              </w:rPr>
              <w:t>根据挤占挪用基金要情、</w:t>
            </w:r>
            <w:proofErr w:type="gramStart"/>
            <w:r>
              <w:rPr>
                <w:rFonts w:ascii="仿宋_GB2312" w:eastAsia="仿宋_GB2312" w:hint="eastAsia"/>
                <w:sz w:val="24"/>
                <w:szCs w:val="24"/>
              </w:rPr>
              <w:t>重大要</w:t>
            </w:r>
            <w:proofErr w:type="gramEnd"/>
            <w:r>
              <w:rPr>
                <w:rFonts w:ascii="仿宋_GB2312" w:eastAsia="仿宋_GB2312" w:hint="eastAsia"/>
                <w:sz w:val="24"/>
                <w:szCs w:val="24"/>
              </w:rPr>
              <w:t>情数量，涉案金额、人数以及查处情况等因素确定分值；要</w:t>
            </w:r>
            <w:proofErr w:type="gramStart"/>
            <w:r>
              <w:rPr>
                <w:rFonts w:ascii="仿宋_GB2312" w:eastAsia="仿宋_GB2312" w:hint="eastAsia"/>
                <w:sz w:val="24"/>
                <w:szCs w:val="24"/>
              </w:rPr>
              <w:t>情数量</w:t>
            </w:r>
            <w:proofErr w:type="gramEnd"/>
            <w:r>
              <w:rPr>
                <w:rFonts w:ascii="仿宋_GB2312" w:eastAsia="仿宋_GB2312" w:hint="eastAsia"/>
                <w:sz w:val="24"/>
                <w:szCs w:val="24"/>
              </w:rPr>
              <w:t>为零的得20分。</w:t>
            </w:r>
          </w:p>
        </w:tc>
      </w:tr>
      <w:tr w:rsidR="003A559B">
        <w:trPr>
          <w:trHeight w:hRule="exact" w:val="1330"/>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7.欺诈骗取基金情况</w:t>
            </w:r>
          </w:p>
        </w:tc>
        <w:tc>
          <w:tcPr>
            <w:tcW w:w="4669"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用于衡量社会保险服务机构、参保单位、参保和待遇享受人员以及其他有关机构、人员通过欺诈伪造证明材料等手段骗取基金所涉及的要</w:t>
            </w:r>
            <w:proofErr w:type="gramStart"/>
            <w:r>
              <w:rPr>
                <w:rFonts w:ascii="仿宋_GB2312" w:eastAsia="仿宋_GB2312" w:hint="eastAsia"/>
                <w:sz w:val="24"/>
                <w:szCs w:val="24"/>
              </w:rPr>
              <w:t>情发生</w:t>
            </w:r>
            <w:proofErr w:type="gramEnd"/>
            <w:r>
              <w:rPr>
                <w:rFonts w:ascii="仿宋_GB2312" w:eastAsia="仿宋_GB2312" w:hint="eastAsia"/>
                <w:sz w:val="24"/>
                <w:szCs w:val="24"/>
              </w:rPr>
              <w:t>情况。</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20</w:t>
            </w:r>
          </w:p>
        </w:tc>
        <w:tc>
          <w:tcPr>
            <w:tcW w:w="3363" w:type="dxa"/>
            <w:vAlign w:val="center"/>
          </w:tcPr>
          <w:p w:rsidR="003A559B" w:rsidRDefault="009C0453">
            <w:pPr>
              <w:adjustRightInd w:val="0"/>
              <w:snapToGrid w:val="0"/>
              <w:jc w:val="left"/>
              <w:rPr>
                <w:rFonts w:ascii="仿宋_GB2312" w:eastAsia="仿宋_GB2312"/>
                <w:sz w:val="24"/>
                <w:szCs w:val="24"/>
              </w:rPr>
            </w:pPr>
            <w:r>
              <w:rPr>
                <w:rFonts w:ascii="仿宋_GB2312" w:eastAsia="仿宋_GB2312" w:hint="eastAsia"/>
                <w:sz w:val="24"/>
                <w:szCs w:val="24"/>
              </w:rPr>
              <w:t>根据欺诈骗取基金要情、</w:t>
            </w:r>
            <w:proofErr w:type="gramStart"/>
            <w:r>
              <w:rPr>
                <w:rFonts w:ascii="仿宋_GB2312" w:eastAsia="仿宋_GB2312" w:hint="eastAsia"/>
                <w:sz w:val="24"/>
                <w:szCs w:val="24"/>
              </w:rPr>
              <w:t>重大要</w:t>
            </w:r>
            <w:proofErr w:type="gramEnd"/>
            <w:r>
              <w:rPr>
                <w:rFonts w:ascii="仿宋_GB2312" w:eastAsia="仿宋_GB2312" w:hint="eastAsia"/>
                <w:sz w:val="24"/>
                <w:szCs w:val="24"/>
              </w:rPr>
              <w:t>情数量，涉案金额、人数以及查处情况等因素确定分值；要</w:t>
            </w:r>
            <w:proofErr w:type="gramStart"/>
            <w:r>
              <w:rPr>
                <w:rFonts w:ascii="仿宋_GB2312" w:eastAsia="仿宋_GB2312" w:hint="eastAsia"/>
                <w:sz w:val="24"/>
                <w:szCs w:val="24"/>
              </w:rPr>
              <w:t>情数量</w:t>
            </w:r>
            <w:proofErr w:type="gramEnd"/>
            <w:r>
              <w:rPr>
                <w:rFonts w:ascii="仿宋_GB2312" w:eastAsia="仿宋_GB2312" w:hint="eastAsia"/>
                <w:sz w:val="24"/>
                <w:szCs w:val="24"/>
              </w:rPr>
              <w:t>为零的得20分。</w:t>
            </w:r>
          </w:p>
        </w:tc>
      </w:tr>
      <w:tr w:rsidR="003A559B">
        <w:trPr>
          <w:trHeight w:hRule="exact" w:val="1330"/>
        </w:trPr>
        <w:tc>
          <w:tcPr>
            <w:tcW w:w="1080" w:type="dxa"/>
            <w:vMerge/>
            <w:vAlign w:val="center"/>
          </w:tcPr>
          <w:p w:rsidR="003A559B" w:rsidRDefault="003A559B">
            <w:pPr>
              <w:adjustRightInd w:val="0"/>
              <w:snapToGrid w:val="0"/>
              <w:jc w:val="center"/>
              <w:rPr>
                <w:rFonts w:ascii="仿宋_GB2312" w:eastAsia="仿宋_GB2312"/>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8.基金损失率</w:t>
            </w:r>
          </w:p>
        </w:tc>
        <w:tc>
          <w:tcPr>
            <w:tcW w:w="4669"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因发生基金要情、管理不到位等原因无法追回或未予弥补的基金损失/各类要情、管理问题等涉及的基金额，用以衡量对基金损失的追缴力度。</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5</w:t>
            </w:r>
          </w:p>
        </w:tc>
        <w:tc>
          <w:tcPr>
            <w:tcW w:w="3363" w:type="dxa"/>
            <w:vAlign w:val="center"/>
          </w:tcPr>
          <w:p w:rsidR="003A559B" w:rsidRDefault="009C0453">
            <w:pPr>
              <w:adjustRightInd w:val="0"/>
              <w:snapToGrid w:val="0"/>
              <w:jc w:val="left"/>
              <w:rPr>
                <w:rFonts w:ascii="仿宋_GB2312" w:eastAsia="仿宋_GB2312"/>
                <w:sz w:val="24"/>
                <w:szCs w:val="24"/>
              </w:rPr>
            </w:pPr>
            <w:r>
              <w:rPr>
                <w:rFonts w:ascii="仿宋_GB2312" w:eastAsia="仿宋_GB2312" w:hint="eastAsia"/>
                <w:kern w:val="0"/>
                <w:sz w:val="24"/>
                <w:szCs w:val="24"/>
              </w:rPr>
              <w:t>以“0—1”为评估区间，指标值为“0”，</w:t>
            </w:r>
            <w:r>
              <w:rPr>
                <w:rFonts w:ascii="仿宋_GB2312" w:eastAsia="仿宋_GB2312" w:hint="eastAsia"/>
                <w:sz w:val="24"/>
                <w:szCs w:val="24"/>
              </w:rPr>
              <w:t>5分；为“1”，0分。</w:t>
            </w:r>
            <w:r>
              <w:rPr>
                <w:rFonts w:ascii="仿宋_GB2312" w:eastAsia="仿宋_GB2312" w:hAnsi="楷体" w:hint="eastAsia"/>
                <w:kern w:val="0"/>
                <w:sz w:val="24"/>
                <w:szCs w:val="24"/>
              </w:rPr>
              <w:t>合理划</w:t>
            </w:r>
            <w:r>
              <w:rPr>
                <w:rFonts w:ascii="仿宋_GB2312" w:eastAsia="仿宋_GB2312" w:hAnsi="楷体" w:hint="eastAsia"/>
                <w:sz w:val="24"/>
                <w:szCs w:val="24"/>
              </w:rPr>
              <w:t>分区间进行评分</w:t>
            </w:r>
            <w:r>
              <w:rPr>
                <w:rFonts w:ascii="仿宋_GB2312" w:eastAsia="仿宋_GB2312" w:hAnsi="楷体" w:hint="eastAsia"/>
                <w:kern w:val="0"/>
                <w:sz w:val="24"/>
                <w:szCs w:val="24"/>
              </w:rPr>
              <w:t>。</w:t>
            </w:r>
          </w:p>
        </w:tc>
      </w:tr>
      <w:tr w:rsidR="003A559B">
        <w:trPr>
          <w:trHeight w:hRule="exact" w:val="1148"/>
        </w:trPr>
        <w:tc>
          <w:tcPr>
            <w:tcW w:w="1080" w:type="dxa"/>
            <w:vMerge/>
            <w:vAlign w:val="center"/>
          </w:tcPr>
          <w:p w:rsidR="003A559B" w:rsidRDefault="003A559B">
            <w:pPr>
              <w:adjustRightInd w:val="0"/>
              <w:snapToGrid w:val="0"/>
              <w:jc w:val="left"/>
              <w:rPr>
                <w:rFonts w:ascii="仿宋_GB2312" w:eastAsia="仿宋_GB2312" w:hAnsi="楷体"/>
                <w:kern w:val="0"/>
                <w:sz w:val="24"/>
                <w:szCs w:val="24"/>
              </w:rPr>
            </w:pPr>
          </w:p>
        </w:tc>
        <w:tc>
          <w:tcPr>
            <w:tcW w:w="1410" w:type="dxa"/>
            <w:vMerge/>
            <w:vAlign w:val="center"/>
          </w:tcPr>
          <w:p w:rsidR="003A559B" w:rsidRDefault="003A559B">
            <w:pPr>
              <w:adjustRightInd w:val="0"/>
              <w:snapToGrid w:val="0"/>
              <w:jc w:val="center"/>
              <w:rPr>
                <w:rFonts w:ascii="仿宋_GB2312" w:eastAsia="仿宋_GB2312"/>
                <w:sz w:val="24"/>
                <w:szCs w:val="24"/>
              </w:rPr>
            </w:pPr>
          </w:p>
        </w:tc>
        <w:tc>
          <w:tcPr>
            <w:tcW w:w="2962"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9.基金举报投诉结案率</w:t>
            </w:r>
          </w:p>
        </w:tc>
        <w:tc>
          <w:tcPr>
            <w:tcW w:w="4669" w:type="dxa"/>
            <w:vAlign w:val="center"/>
          </w:tcPr>
          <w:p w:rsidR="003A559B" w:rsidRDefault="009C0453">
            <w:pPr>
              <w:adjustRightInd w:val="0"/>
              <w:snapToGrid w:val="0"/>
              <w:rPr>
                <w:rFonts w:ascii="仿宋_GB2312" w:eastAsia="仿宋_GB2312"/>
                <w:sz w:val="24"/>
                <w:szCs w:val="24"/>
              </w:rPr>
            </w:pPr>
            <w:r>
              <w:rPr>
                <w:rFonts w:ascii="仿宋_GB2312" w:eastAsia="仿宋_GB2312" w:hint="eastAsia"/>
                <w:sz w:val="24"/>
                <w:szCs w:val="24"/>
              </w:rPr>
              <w:t>举报投诉结案数/举报投诉案件总数，用以衡量社会监督的工作效果。</w:t>
            </w:r>
          </w:p>
        </w:tc>
        <w:tc>
          <w:tcPr>
            <w:tcW w:w="713" w:type="dxa"/>
            <w:vAlign w:val="center"/>
          </w:tcPr>
          <w:p w:rsidR="003A559B" w:rsidRDefault="009C0453">
            <w:pPr>
              <w:adjustRightInd w:val="0"/>
              <w:snapToGrid w:val="0"/>
              <w:jc w:val="center"/>
              <w:rPr>
                <w:rFonts w:ascii="仿宋_GB2312" w:eastAsia="仿宋_GB2312"/>
                <w:sz w:val="24"/>
                <w:szCs w:val="24"/>
              </w:rPr>
            </w:pPr>
            <w:r>
              <w:rPr>
                <w:rFonts w:ascii="仿宋_GB2312" w:eastAsia="仿宋_GB2312" w:hint="eastAsia"/>
                <w:sz w:val="24"/>
                <w:szCs w:val="24"/>
              </w:rPr>
              <w:t>5</w:t>
            </w:r>
          </w:p>
        </w:tc>
        <w:tc>
          <w:tcPr>
            <w:tcW w:w="3363" w:type="dxa"/>
            <w:vAlign w:val="center"/>
          </w:tcPr>
          <w:p w:rsidR="003A559B" w:rsidRDefault="009C0453">
            <w:pPr>
              <w:adjustRightInd w:val="0"/>
              <w:snapToGrid w:val="0"/>
              <w:jc w:val="left"/>
              <w:rPr>
                <w:rFonts w:ascii="仿宋_GB2312" w:eastAsia="仿宋_GB2312"/>
                <w:sz w:val="24"/>
                <w:szCs w:val="24"/>
              </w:rPr>
            </w:pPr>
            <w:r>
              <w:rPr>
                <w:rFonts w:ascii="仿宋_GB2312" w:eastAsia="仿宋_GB2312" w:hint="eastAsia"/>
                <w:kern w:val="0"/>
                <w:sz w:val="24"/>
                <w:szCs w:val="24"/>
              </w:rPr>
              <w:t>以“0—1”为评估区间，指标值为“1”，</w:t>
            </w:r>
            <w:r>
              <w:rPr>
                <w:rFonts w:ascii="仿宋_GB2312" w:eastAsia="仿宋_GB2312" w:hint="eastAsia"/>
                <w:sz w:val="24"/>
                <w:szCs w:val="24"/>
              </w:rPr>
              <w:t>5分；为“0”，0分。</w:t>
            </w:r>
            <w:r>
              <w:rPr>
                <w:rFonts w:ascii="仿宋_GB2312" w:eastAsia="仿宋_GB2312" w:hAnsi="楷体" w:hint="eastAsia"/>
                <w:kern w:val="0"/>
                <w:sz w:val="24"/>
                <w:szCs w:val="24"/>
              </w:rPr>
              <w:t>合理划</w:t>
            </w:r>
            <w:r>
              <w:rPr>
                <w:rFonts w:ascii="仿宋_GB2312" w:eastAsia="仿宋_GB2312" w:hAnsi="楷体" w:hint="eastAsia"/>
                <w:sz w:val="24"/>
                <w:szCs w:val="24"/>
              </w:rPr>
              <w:t>分区间进行评分</w:t>
            </w:r>
            <w:r>
              <w:rPr>
                <w:rFonts w:ascii="仿宋_GB2312" w:eastAsia="仿宋_GB2312" w:hAnsi="楷体" w:hint="eastAsia"/>
                <w:kern w:val="0"/>
                <w:sz w:val="24"/>
                <w:szCs w:val="24"/>
              </w:rPr>
              <w:t>。</w:t>
            </w:r>
          </w:p>
        </w:tc>
      </w:tr>
    </w:tbl>
    <w:p w:rsidR="009C0453" w:rsidRDefault="009C0453"/>
    <w:sectPr w:rsidR="009C0453" w:rsidSect="003A559B">
      <w:headerReference w:type="default" r:id="rId6"/>
      <w:footerReference w:type="default" r:id="rId7"/>
      <w:pgSz w:w="16838" w:h="11906" w:orient="landscape"/>
      <w:pgMar w:top="1701" w:right="1701" w:bottom="1701" w:left="1701" w:header="851" w:footer="850" w:gutter="0"/>
      <w:pgBorders>
        <w:top w:val="none" w:sz="0" w:space="1" w:color="auto"/>
        <w:left w:val="none" w:sz="0" w:space="4" w:color="auto"/>
        <w:bottom w:val="none" w:sz="0" w:space="1" w:color="auto"/>
        <w:right w:val="none" w:sz="0" w:space="4" w:color="auto"/>
      </w:pgBorders>
      <w:cols w:space="720"/>
      <w:docGrid w:type="lines" w:linePitch="31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3B26" w:rsidRDefault="00A93B26">
      <w:r>
        <w:separator/>
      </w:r>
    </w:p>
  </w:endnote>
  <w:endnote w:type="continuationSeparator" w:id="0">
    <w:p w:rsidR="00A93B26" w:rsidRDefault="00A93B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altName w:val="楷体_GB2312"/>
    <w:charset w:val="86"/>
    <w:family w:val="modern"/>
    <w:pitch w:val="default"/>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59B" w:rsidRDefault="00DE2A6B">
    <w:pPr>
      <w:pStyle w:val="a4"/>
      <w:jc w:val="center"/>
    </w:pPr>
    <w:r>
      <w:fldChar w:fldCharType="begin"/>
    </w:r>
    <w:r w:rsidR="009C0453">
      <w:instrText xml:space="preserve"> PAGE   \* MERGEFORMAT </w:instrText>
    </w:r>
    <w:r>
      <w:fldChar w:fldCharType="separate"/>
    </w:r>
    <w:r w:rsidR="0023555B">
      <w:rPr>
        <w:noProof/>
      </w:rPr>
      <w:t>2</w:t>
    </w:r>
    <w:r>
      <w:fldChar w:fldCharType="end"/>
    </w:r>
  </w:p>
  <w:p w:rsidR="003A559B" w:rsidRDefault="003A559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3B26" w:rsidRDefault="00A93B26">
      <w:r>
        <w:separator/>
      </w:r>
    </w:p>
  </w:footnote>
  <w:footnote w:type="continuationSeparator" w:id="0">
    <w:p w:rsidR="00A93B26" w:rsidRDefault="00A93B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59B" w:rsidRDefault="003A559B">
    <w:pPr>
      <w:pStyle w:val="a3"/>
      <w:jc w:val="cen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9218"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172A27"/>
    <w:rsid w:val="001C4465"/>
    <w:rsid w:val="00227052"/>
    <w:rsid w:val="0023555B"/>
    <w:rsid w:val="003164F8"/>
    <w:rsid w:val="003A559B"/>
    <w:rsid w:val="00565D8B"/>
    <w:rsid w:val="00893D58"/>
    <w:rsid w:val="008D2CAC"/>
    <w:rsid w:val="00984882"/>
    <w:rsid w:val="009C0453"/>
    <w:rsid w:val="00A010D2"/>
    <w:rsid w:val="00A93B26"/>
    <w:rsid w:val="00BB19D2"/>
    <w:rsid w:val="00DE2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uiPriority="0"/>
    <w:lsdException w:name="caption" w:uiPriority="35" w:qFormat="1"/>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59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unhideWhenUsed/>
    <w:rsid w:val="003A559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unhideWhenUsed/>
    <w:rsid w:val="003A559B"/>
    <w:pPr>
      <w:tabs>
        <w:tab w:val="center" w:pos="4153"/>
        <w:tab w:val="right" w:pos="8306"/>
      </w:tabs>
      <w:snapToGrid w:val="0"/>
      <w:jc w:val="left"/>
    </w:pPr>
    <w:rPr>
      <w:sz w:val="18"/>
    </w:rPr>
  </w:style>
  <w:style w:type="paragraph" w:styleId="a5">
    <w:name w:val="List Paragraph"/>
    <w:basedOn w:val="a"/>
    <w:uiPriority w:val="34"/>
    <w:qFormat/>
    <w:rsid w:val="003A559B"/>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305</Words>
  <Characters>1744</Characters>
  <Application>Microsoft Office Word</Application>
  <DocSecurity>0</DocSecurity>
  <PresentationFormat/>
  <Lines>14</Lines>
  <Paragraphs>4</Paragraphs>
  <Slides>0</Slides>
  <Notes>0</Notes>
  <HiddenSlides>0</HiddenSlides>
  <MMClips>0</MMClips>
  <ScaleCrop>false</ScaleCrop>
  <Manager/>
  <Company/>
  <LinksUpToDate>false</LinksUpToDate>
  <CharactersWithSpaces>2045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人力资源社会保障部办公厅关于开展</dc:title>
  <dc:subject/>
  <dc:creator>Administrator</dc:creator>
  <cp:keywords/>
  <dc:description/>
  <cp:lastModifiedBy>Lenovo User</cp:lastModifiedBy>
  <cp:revision>2</cp:revision>
  <cp:lastPrinted>2014-09-11T08:11:00Z</cp:lastPrinted>
  <dcterms:created xsi:type="dcterms:W3CDTF">2014-09-26T02:16:00Z</dcterms:created>
  <dcterms:modified xsi:type="dcterms:W3CDTF">2014-09-26T02:16:00Z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