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37F" w:rsidRPr="000E037F" w:rsidRDefault="000E037F" w:rsidP="000E037F">
      <w:pPr>
        <w:spacing w:line="460" w:lineRule="exact"/>
        <w:rPr>
          <w:rFonts w:ascii="黑体" w:eastAsia="黑体"/>
          <w:szCs w:val="32"/>
        </w:rPr>
      </w:pPr>
      <w:r w:rsidRPr="000E037F">
        <w:rPr>
          <w:rFonts w:ascii="黑体" w:eastAsia="黑体" w:hint="eastAsia"/>
          <w:szCs w:val="32"/>
        </w:rPr>
        <w:t>附件3</w:t>
      </w:r>
    </w:p>
    <w:p w:rsidR="000E037F" w:rsidRPr="000E037F" w:rsidRDefault="000E037F" w:rsidP="000E037F">
      <w:pPr>
        <w:jc w:val="center"/>
        <w:rPr>
          <w:rFonts w:eastAsia="黑体"/>
          <w:sz w:val="52"/>
          <w:szCs w:val="52"/>
        </w:rPr>
      </w:pPr>
    </w:p>
    <w:p w:rsidR="000E037F" w:rsidRPr="000E037F" w:rsidRDefault="000E037F" w:rsidP="000E037F">
      <w:pPr>
        <w:jc w:val="center"/>
        <w:rPr>
          <w:rFonts w:eastAsia="黑体"/>
          <w:sz w:val="52"/>
          <w:szCs w:val="52"/>
        </w:rPr>
      </w:pPr>
    </w:p>
    <w:p w:rsidR="000E037F" w:rsidRPr="000E037F" w:rsidRDefault="000E037F" w:rsidP="000E037F">
      <w:pPr>
        <w:spacing w:line="276" w:lineRule="auto"/>
        <w:jc w:val="center"/>
        <w:rPr>
          <w:rFonts w:ascii="黑体" w:eastAsia="黑体"/>
          <w:b/>
          <w:sz w:val="52"/>
          <w:szCs w:val="68"/>
        </w:rPr>
      </w:pPr>
      <w:r w:rsidRPr="000E037F">
        <w:rPr>
          <w:rFonts w:ascii="黑体" w:eastAsia="黑体" w:hint="eastAsia"/>
          <w:b/>
          <w:sz w:val="52"/>
          <w:szCs w:val="68"/>
        </w:rPr>
        <w:t>机井灌溉控制器户外检测及评定</w:t>
      </w:r>
    </w:p>
    <w:p w:rsidR="000E037F" w:rsidRPr="000E037F" w:rsidRDefault="000E037F" w:rsidP="000E037F">
      <w:pPr>
        <w:spacing w:line="276" w:lineRule="auto"/>
        <w:jc w:val="center"/>
        <w:rPr>
          <w:rFonts w:ascii="黑体" w:eastAsia="黑体"/>
          <w:b/>
          <w:sz w:val="68"/>
          <w:szCs w:val="68"/>
        </w:rPr>
      </w:pPr>
    </w:p>
    <w:p w:rsidR="000E037F" w:rsidRPr="000E037F" w:rsidRDefault="000E037F" w:rsidP="000E037F">
      <w:pPr>
        <w:spacing w:line="276" w:lineRule="auto"/>
        <w:jc w:val="center"/>
        <w:rPr>
          <w:rFonts w:ascii="黑体" w:eastAsia="黑体"/>
          <w:b/>
          <w:sz w:val="68"/>
          <w:szCs w:val="68"/>
        </w:rPr>
      </w:pPr>
    </w:p>
    <w:p w:rsidR="000E037F" w:rsidRPr="000E037F" w:rsidRDefault="000E037F" w:rsidP="000E037F">
      <w:pPr>
        <w:jc w:val="center"/>
        <w:rPr>
          <w:rFonts w:ascii="黑体" w:eastAsia="黑体"/>
          <w:b/>
          <w:sz w:val="72"/>
          <w:szCs w:val="72"/>
        </w:rPr>
      </w:pPr>
      <w:r w:rsidRPr="000E037F">
        <w:rPr>
          <w:rFonts w:ascii="黑体" w:eastAsia="黑体" w:hint="eastAsia"/>
          <w:b/>
          <w:sz w:val="72"/>
          <w:szCs w:val="72"/>
        </w:rPr>
        <w:t>技术方案</w:t>
      </w:r>
    </w:p>
    <w:p w:rsidR="000E037F" w:rsidRPr="000E037F" w:rsidRDefault="000E037F" w:rsidP="000E037F">
      <w:pPr>
        <w:ind w:firstLine="640"/>
        <w:rPr>
          <w:szCs w:val="32"/>
        </w:rPr>
      </w:pPr>
    </w:p>
    <w:p w:rsidR="000E037F" w:rsidRPr="000E037F" w:rsidRDefault="000E037F" w:rsidP="000E037F">
      <w:pPr>
        <w:ind w:firstLine="640"/>
        <w:rPr>
          <w:szCs w:val="32"/>
        </w:rPr>
      </w:pPr>
    </w:p>
    <w:p w:rsidR="000E037F" w:rsidRPr="000E037F" w:rsidRDefault="000E037F" w:rsidP="000E037F">
      <w:pPr>
        <w:ind w:firstLine="640"/>
        <w:rPr>
          <w:szCs w:val="32"/>
        </w:rPr>
      </w:pPr>
    </w:p>
    <w:p w:rsidR="000E037F" w:rsidRPr="000E037F" w:rsidRDefault="000E037F" w:rsidP="000E037F">
      <w:pPr>
        <w:ind w:firstLine="640"/>
        <w:rPr>
          <w:szCs w:val="32"/>
        </w:rPr>
      </w:pPr>
    </w:p>
    <w:p w:rsidR="000E037F" w:rsidRPr="000E037F" w:rsidRDefault="000E037F" w:rsidP="000E037F">
      <w:pPr>
        <w:ind w:firstLine="640"/>
        <w:rPr>
          <w:szCs w:val="32"/>
        </w:rPr>
      </w:pPr>
    </w:p>
    <w:p w:rsidR="000E037F" w:rsidRPr="000E037F" w:rsidRDefault="000E037F" w:rsidP="000E037F">
      <w:pPr>
        <w:ind w:firstLine="640"/>
        <w:rPr>
          <w:szCs w:val="32"/>
        </w:rPr>
      </w:pPr>
    </w:p>
    <w:p w:rsidR="000E037F" w:rsidRPr="000E037F" w:rsidRDefault="000E037F" w:rsidP="000E037F">
      <w:pPr>
        <w:jc w:val="center"/>
        <w:rPr>
          <w:rFonts w:ascii="黑体" w:eastAsia="黑体" w:cs="Lucida Sans Unicode"/>
          <w:b/>
          <w:sz w:val="36"/>
          <w:szCs w:val="36"/>
        </w:rPr>
      </w:pPr>
      <w:r w:rsidRPr="000E037F">
        <w:rPr>
          <w:rFonts w:ascii="黑体" w:eastAsia="黑体" w:cs="Lucida Sans Unicode" w:hint="eastAsia"/>
          <w:b/>
          <w:sz w:val="36"/>
          <w:szCs w:val="36"/>
        </w:rPr>
        <w:t>水 利 部 科 技 推 广 中 心</w:t>
      </w:r>
    </w:p>
    <w:p w:rsidR="000E037F" w:rsidRPr="000E037F" w:rsidRDefault="000E037F" w:rsidP="000E037F">
      <w:pPr>
        <w:jc w:val="center"/>
        <w:rPr>
          <w:rFonts w:ascii="黑体" w:eastAsia="黑体" w:cs="Lucida Sans Unicode"/>
          <w:b/>
          <w:sz w:val="36"/>
          <w:szCs w:val="36"/>
        </w:rPr>
      </w:pPr>
      <w:r w:rsidRPr="000E037F">
        <w:rPr>
          <w:rFonts w:ascii="黑体" w:eastAsia="黑体" w:cs="Lucida Sans Unicode" w:hint="eastAsia"/>
          <w:b/>
          <w:sz w:val="36"/>
          <w:szCs w:val="36"/>
        </w:rPr>
        <w:t>二○一五年</w:t>
      </w:r>
    </w:p>
    <w:p w:rsidR="000E037F" w:rsidRPr="000E037F" w:rsidRDefault="000E037F" w:rsidP="000E037F">
      <w:pPr>
        <w:jc w:val="center"/>
        <w:rPr>
          <w:rFonts w:ascii="黑体" w:eastAsia="黑体" w:cs="Lucida Sans Unicode"/>
          <w:b/>
          <w:sz w:val="36"/>
          <w:szCs w:val="36"/>
        </w:rPr>
      </w:pPr>
    </w:p>
    <w:p w:rsidR="00B80E6D" w:rsidRDefault="00B80E6D" w:rsidP="000E037F">
      <w:pPr>
        <w:jc w:val="center"/>
        <w:rPr>
          <w:b/>
          <w:sz w:val="30"/>
          <w:szCs w:val="30"/>
        </w:rPr>
      </w:pPr>
    </w:p>
    <w:p w:rsidR="000E037F" w:rsidRPr="000E037F" w:rsidRDefault="000E037F" w:rsidP="000E037F">
      <w:pPr>
        <w:jc w:val="center"/>
        <w:rPr>
          <w:b/>
          <w:sz w:val="30"/>
          <w:szCs w:val="30"/>
        </w:rPr>
      </w:pPr>
      <w:r w:rsidRPr="000E037F">
        <w:rPr>
          <w:rFonts w:hint="eastAsia"/>
          <w:b/>
          <w:sz w:val="30"/>
          <w:szCs w:val="30"/>
        </w:rPr>
        <w:lastRenderedPageBreak/>
        <w:t>目</w:t>
      </w:r>
      <w:r w:rsidRPr="000E037F">
        <w:rPr>
          <w:rFonts w:hint="eastAsia"/>
          <w:b/>
          <w:sz w:val="30"/>
          <w:szCs w:val="30"/>
        </w:rPr>
        <w:t xml:space="preserve">  </w:t>
      </w:r>
      <w:r w:rsidRPr="000E037F">
        <w:rPr>
          <w:rFonts w:hint="eastAsia"/>
          <w:b/>
          <w:sz w:val="30"/>
          <w:szCs w:val="30"/>
        </w:rPr>
        <w:t>录</w:t>
      </w:r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Calibri" w:eastAsia="宋体" w:hAnsi="Calibri"/>
          <w:noProof/>
          <w:sz w:val="21"/>
        </w:rPr>
      </w:pPr>
      <w:r w:rsidRPr="000E037F">
        <w:rPr>
          <w:rFonts w:ascii="仿宋" w:eastAsia="仿宋" w:hAnsi="仿宋"/>
          <w:szCs w:val="20"/>
        </w:rPr>
        <w:fldChar w:fldCharType="begin"/>
      </w:r>
      <w:r w:rsidR="000E037F" w:rsidRPr="000E037F">
        <w:rPr>
          <w:rFonts w:ascii="仿宋" w:eastAsia="仿宋" w:hAnsi="仿宋" w:hint="eastAsia"/>
          <w:szCs w:val="20"/>
        </w:rPr>
        <w:instrText>TOC \o "1-3" \h \z \u</w:instrText>
      </w:r>
      <w:r w:rsidRPr="000E037F">
        <w:rPr>
          <w:rFonts w:ascii="仿宋" w:eastAsia="仿宋" w:hAnsi="仿宋"/>
          <w:szCs w:val="20"/>
        </w:rPr>
        <w:fldChar w:fldCharType="separate"/>
      </w:r>
      <w:hyperlink w:anchor="_Toc423035770" w:history="1">
        <w:r w:rsidR="000E037F" w:rsidRPr="00B80E6D">
          <w:rPr>
            <w:rFonts w:ascii="仿宋" w:eastAsia="仿宋" w:hAnsi="仿宋" w:hint="eastAsia"/>
            <w:noProof/>
            <w:szCs w:val="20"/>
          </w:rPr>
          <w:t>一、 检测及评定任务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_Toc423035770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1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Calibri" w:eastAsia="宋体" w:hAnsi="Calibri"/>
          <w:noProof/>
          <w:sz w:val="21"/>
        </w:rPr>
      </w:pPr>
      <w:hyperlink w:anchor="_Toc423035771" w:history="1">
        <w:r w:rsidR="000E037F" w:rsidRPr="00B80E6D">
          <w:rPr>
            <w:rFonts w:ascii="仿宋" w:eastAsia="仿宋" w:hAnsi="仿宋" w:hint="eastAsia"/>
            <w:noProof/>
            <w:szCs w:val="20"/>
          </w:rPr>
          <w:t>二、 检测及评定</w:t>
        </w:r>
        <w:r w:rsidR="002542A8">
          <w:rPr>
            <w:rFonts w:ascii="仿宋" w:eastAsia="仿宋" w:hAnsi="仿宋" w:hint="eastAsia"/>
            <w:noProof/>
            <w:szCs w:val="20"/>
          </w:rPr>
          <w:t>主要</w:t>
        </w:r>
        <w:r w:rsidR="000E037F" w:rsidRPr="00B80E6D">
          <w:rPr>
            <w:rFonts w:ascii="仿宋" w:eastAsia="仿宋" w:hAnsi="仿宋" w:hint="eastAsia"/>
            <w:noProof/>
            <w:szCs w:val="20"/>
          </w:rPr>
          <w:t>依据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_Toc423035771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1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Calibri" w:eastAsia="宋体" w:hAnsi="Calibri"/>
          <w:noProof/>
          <w:sz w:val="21"/>
        </w:rPr>
      </w:pPr>
      <w:hyperlink w:anchor="_Toc423035772" w:history="1">
        <w:r w:rsidR="000E037F" w:rsidRPr="00B80E6D">
          <w:rPr>
            <w:rFonts w:ascii="仿宋" w:eastAsia="仿宋" w:hAnsi="仿宋" w:hint="eastAsia"/>
            <w:noProof/>
            <w:szCs w:val="20"/>
          </w:rPr>
          <w:t>三、 检测设备及场所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_Toc423035772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1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Calibri" w:eastAsia="宋体" w:hAnsi="Calibri"/>
          <w:noProof/>
          <w:sz w:val="21"/>
        </w:rPr>
      </w:pPr>
      <w:hyperlink w:anchor="_Toc423035773" w:history="1">
        <w:r w:rsidR="000E037F" w:rsidRPr="00B80E6D">
          <w:rPr>
            <w:rFonts w:ascii="仿宋" w:eastAsia="仿宋" w:hAnsi="仿宋" w:hint="eastAsia"/>
            <w:noProof/>
            <w:szCs w:val="20"/>
          </w:rPr>
          <w:t>四、 送检仪器的安装调试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_Toc423035773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1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Calibri" w:eastAsia="宋体" w:hAnsi="Calibri"/>
          <w:noProof/>
          <w:sz w:val="21"/>
        </w:rPr>
      </w:pPr>
      <w:hyperlink w:anchor="_Toc423035774" w:history="1">
        <w:r w:rsidR="000E037F" w:rsidRPr="00B80E6D">
          <w:rPr>
            <w:rFonts w:ascii="仿宋" w:eastAsia="仿宋" w:hAnsi="仿宋" w:hint="eastAsia"/>
            <w:noProof/>
            <w:szCs w:val="20"/>
          </w:rPr>
          <w:t>五、 固态存储功能检测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_Toc423035774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2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75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（一） 容量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_Toc423035775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2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76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（二） 存储准确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_Toc423035776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2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77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（三） 数据下载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_Toc423035777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2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Calibri" w:eastAsia="宋体" w:hAnsi="Calibri"/>
          <w:noProof/>
          <w:sz w:val="21"/>
        </w:rPr>
      </w:pPr>
      <w:hyperlink w:anchor="_Toc423035778" w:history="1">
        <w:r w:rsidR="000E037F" w:rsidRPr="00B80E6D">
          <w:rPr>
            <w:rFonts w:ascii="仿宋" w:eastAsia="仿宋" w:hAnsi="仿宋" w:hint="eastAsia"/>
            <w:noProof/>
            <w:szCs w:val="20"/>
          </w:rPr>
          <w:t>六、 数据采集检测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_Toc423035778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3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79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（一） 电表采集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_Toc423035779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3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80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（二） 水表采集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_Toc423035780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3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81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（三） 读数准确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_Toc423035781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3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82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（四） 上报准确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_Toc423035782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3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Calibri" w:eastAsia="宋体" w:hAnsi="Calibri"/>
          <w:noProof/>
          <w:sz w:val="21"/>
        </w:rPr>
      </w:pPr>
      <w:hyperlink w:anchor="_Toc423035783" w:history="1">
        <w:r w:rsidR="000E037F" w:rsidRPr="00B80E6D">
          <w:rPr>
            <w:rFonts w:ascii="仿宋" w:eastAsia="仿宋" w:hAnsi="仿宋" w:hint="eastAsia"/>
            <w:noProof/>
            <w:szCs w:val="20"/>
          </w:rPr>
          <w:t>七、 异常处理检测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_Toc423035783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4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84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（一） 停电处理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_Toc423035784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4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85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（二） 紧急停水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_Toc423035785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4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86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（三） 断网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_Toc423035786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5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87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（四） 禁止多人同刷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_Toc423035787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5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88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（五） 禁止非授权卡使用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_Toc423035788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5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89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（六） 系统失效不影响灌溉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_Toc423035789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6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Calibri" w:eastAsia="宋体" w:hAnsi="Calibri"/>
          <w:noProof/>
          <w:sz w:val="21"/>
        </w:rPr>
      </w:pPr>
      <w:hyperlink w:anchor="_Toc423035790" w:history="1">
        <w:r w:rsidR="000E037F" w:rsidRPr="00B80E6D">
          <w:rPr>
            <w:rFonts w:ascii="仿宋" w:eastAsia="仿宋" w:hAnsi="仿宋" w:hint="eastAsia"/>
            <w:noProof/>
            <w:szCs w:val="20"/>
          </w:rPr>
          <w:t>八、</w:t>
        </w:r>
        <w:r w:rsidR="000E037F" w:rsidRPr="00B80E6D">
          <w:rPr>
            <w:rFonts w:ascii="仿宋" w:eastAsia="仿宋" w:hAnsi="仿宋"/>
            <w:noProof/>
            <w:szCs w:val="20"/>
          </w:rPr>
          <w:t xml:space="preserve"> IC</w:t>
        </w:r>
        <w:r w:rsidR="000E037F" w:rsidRPr="00B80E6D">
          <w:rPr>
            <w:rFonts w:ascii="仿宋" w:eastAsia="仿宋" w:hAnsi="仿宋" w:hint="eastAsia"/>
            <w:noProof/>
            <w:szCs w:val="20"/>
          </w:rPr>
          <w:t>卡部分检测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_Toc423035790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6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91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（一） 刷卡稳定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_Toc423035791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6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92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（二） 充值稳定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_Toc423035792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6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93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（三） 开卡稳定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_Toc423035793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7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94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（四） 销卡稳定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_Toc423035794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7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Calibri" w:eastAsia="宋体" w:hAnsi="Calibri"/>
          <w:noProof/>
          <w:sz w:val="21"/>
        </w:rPr>
      </w:pPr>
      <w:hyperlink w:anchor="_Toc423035795" w:history="1">
        <w:r w:rsidR="000E037F" w:rsidRPr="00B80E6D">
          <w:rPr>
            <w:rFonts w:ascii="仿宋" w:eastAsia="仿宋" w:hAnsi="仿宋" w:hint="eastAsia"/>
            <w:noProof/>
            <w:szCs w:val="20"/>
          </w:rPr>
          <w:t>九、 其他技术指标评定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_Toc423035795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7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B80E6D" w:rsidRDefault="007C549B" w:rsidP="000E037F">
      <w:pPr>
        <w:tabs>
          <w:tab w:val="right" w:leader="dot" w:pos="8296"/>
        </w:tabs>
        <w:spacing w:line="360" w:lineRule="auto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5796" w:history="1">
        <w:r w:rsidR="000E037F" w:rsidRPr="00B80E6D">
          <w:rPr>
            <w:rFonts w:ascii="仿宋" w:eastAsia="仿宋" w:hAnsi="仿宋" w:hint="eastAsia"/>
            <w:noProof/>
            <w:szCs w:val="20"/>
          </w:rPr>
          <w:t>（一） 维护性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_Toc423035796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7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0E037F" w:rsidRPr="000E037F" w:rsidRDefault="007C549B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仿宋" w:eastAsia="仿宋" w:hAnsi="仿宋"/>
          <w:szCs w:val="20"/>
        </w:rPr>
      </w:pPr>
      <w:hyperlink w:anchor="_Toc423035797" w:history="1">
        <w:r w:rsidR="000E037F" w:rsidRPr="00B80E6D">
          <w:rPr>
            <w:rFonts w:ascii="仿宋" w:eastAsia="仿宋" w:hAnsi="仿宋" w:hint="eastAsia"/>
            <w:noProof/>
            <w:szCs w:val="20"/>
          </w:rPr>
          <w:t>十、 检测及评定结果</w:t>
        </w:r>
        <w:r w:rsidR="000E037F" w:rsidRPr="00B80E6D">
          <w:rPr>
            <w:rFonts w:ascii="仿宋" w:eastAsia="仿宋" w:hAnsi="仿宋"/>
            <w:noProof/>
            <w:szCs w:val="20"/>
          </w:rPr>
          <w:tab/>
        </w:r>
        <w:r w:rsidRPr="00B80E6D">
          <w:rPr>
            <w:rFonts w:ascii="仿宋" w:eastAsia="仿宋" w:hAnsi="仿宋"/>
            <w:noProof/>
            <w:szCs w:val="20"/>
          </w:rPr>
          <w:fldChar w:fldCharType="begin"/>
        </w:r>
        <w:r w:rsidR="000E037F" w:rsidRPr="00B80E6D">
          <w:rPr>
            <w:rFonts w:ascii="仿宋" w:eastAsia="仿宋" w:hAnsi="仿宋"/>
            <w:noProof/>
            <w:szCs w:val="20"/>
          </w:rPr>
          <w:instrText xml:space="preserve"> PAGEREF _Toc423035797 \h </w:instrText>
        </w:r>
        <w:r w:rsidRPr="00B80E6D">
          <w:rPr>
            <w:rFonts w:ascii="仿宋" w:eastAsia="仿宋" w:hAnsi="仿宋"/>
            <w:noProof/>
            <w:szCs w:val="20"/>
          </w:rPr>
        </w:r>
        <w:r w:rsidRPr="00B80E6D">
          <w:rPr>
            <w:rFonts w:ascii="仿宋" w:eastAsia="仿宋" w:hAnsi="仿宋"/>
            <w:noProof/>
            <w:szCs w:val="20"/>
          </w:rPr>
          <w:fldChar w:fldCharType="separate"/>
        </w:r>
        <w:r w:rsidR="000E037F" w:rsidRPr="00B80E6D">
          <w:rPr>
            <w:rFonts w:ascii="仿宋" w:eastAsia="仿宋" w:hAnsi="仿宋"/>
            <w:noProof/>
            <w:szCs w:val="20"/>
          </w:rPr>
          <w:t>7</w:t>
        </w:r>
        <w:r w:rsidRPr="00B80E6D">
          <w:rPr>
            <w:rFonts w:ascii="仿宋" w:eastAsia="仿宋" w:hAnsi="仿宋"/>
            <w:noProof/>
            <w:szCs w:val="20"/>
          </w:rPr>
          <w:fldChar w:fldCharType="end"/>
        </w:r>
      </w:hyperlink>
      <w:r w:rsidRPr="000E037F">
        <w:rPr>
          <w:rFonts w:ascii="仿宋" w:eastAsia="仿宋" w:hAnsi="仿宋"/>
          <w:szCs w:val="20"/>
        </w:rPr>
        <w:fldChar w:fldCharType="end"/>
      </w:r>
      <w:bookmarkStart w:id="0" w:name="_Toc423035770"/>
    </w:p>
    <w:p w:rsidR="000E037F" w:rsidRPr="000E037F" w:rsidRDefault="000E037F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仿宋" w:eastAsia="仿宋" w:hAnsi="仿宋"/>
          <w:szCs w:val="20"/>
        </w:rPr>
      </w:pPr>
    </w:p>
    <w:p w:rsidR="000E037F" w:rsidRPr="000E037F" w:rsidRDefault="000E037F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仿宋" w:eastAsia="仿宋" w:hAnsi="仿宋"/>
          <w:szCs w:val="20"/>
        </w:rPr>
      </w:pPr>
    </w:p>
    <w:p w:rsidR="000E037F" w:rsidRPr="000E037F" w:rsidRDefault="000E037F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仿宋" w:eastAsia="仿宋" w:hAnsi="仿宋"/>
          <w:szCs w:val="20"/>
        </w:rPr>
      </w:pPr>
    </w:p>
    <w:p w:rsidR="000E037F" w:rsidRPr="000E037F" w:rsidRDefault="000E037F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仿宋" w:eastAsia="仿宋" w:hAnsi="仿宋"/>
          <w:szCs w:val="20"/>
        </w:rPr>
      </w:pPr>
    </w:p>
    <w:p w:rsidR="000E037F" w:rsidRPr="000E037F" w:rsidRDefault="000E037F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仿宋" w:eastAsia="仿宋" w:hAnsi="仿宋"/>
          <w:szCs w:val="20"/>
        </w:rPr>
      </w:pPr>
    </w:p>
    <w:p w:rsidR="000E037F" w:rsidRPr="000E037F" w:rsidRDefault="000E037F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仿宋" w:eastAsia="仿宋" w:hAnsi="仿宋"/>
          <w:szCs w:val="20"/>
        </w:rPr>
      </w:pPr>
    </w:p>
    <w:p w:rsidR="000E037F" w:rsidRPr="000E037F" w:rsidRDefault="000E037F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仿宋" w:eastAsia="仿宋" w:hAnsi="仿宋"/>
          <w:szCs w:val="20"/>
        </w:rPr>
      </w:pPr>
    </w:p>
    <w:p w:rsidR="000E037F" w:rsidRPr="000E037F" w:rsidRDefault="000E037F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仿宋" w:eastAsia="仿宋" w:hAnsi="仿宋"/>
          <w:szCs w:val="20"/>
        </w:rPr>
      </w:pPr>
    </w:p>
    <w:p w:rsidR="000E037F" w:rsidRDefault="000E037F" w:rsidP="000E037F">
      <w:pPr>
        <w:tabs>
          <w:tab w:val="right" w:leader="dot" w:pos="8296"/>
        </w:tabs>
        <w:spacing w:line="360" w:lineRule="auto"/>
        <w:ind w:firstLineChars="200" w:firstLine="640"/>
        <w:rPr>
          <w:rFonts w:ascii="仿宋" w:eastAsia="仿宋" w:hAnsi="仿宋"/>
          <w:szCs w:val="20"/>
        </w:rPr>
        <w:sectPr w:rsidR="000E037F" w:rsidSect="00873F83">
          <w:footerReference w:type="even" r:id="rId7"/>
          <w:pgSz w:w="11906" w:h="16838"/>
          <w:pgMar w:top="2098" w:right="1474" w:bottom="1985" w:left="1588" w:header="851" w:footer="992" w:gutter="0"/>
          <w:pgNumType w:start="1"/>
          <w:cols w:space="425"/>
          <w:docGrid w:type="lines" w:linePitch="435"/>
        </w:sectPr>
      </w:pPr>
    </w:p>
    <w:p w:rsidR="000E037F" w:rsidRPr="000E037F" w:rsidRDefault="000E037F" w:rsidP="000E037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r w:rsidRPr="000E037F">
        <w:rPr>
          <w:rFonts w:ascii="华文中宋" w:eastAsia="黑体" w:hAnsi="华文中宋" w:hint="eastAsia"/>
          <w:kern w:val="44"/>
          <w:szCs w:val="36"/>
        </w:rPr>
        <w:lastRenderedPageBreak/>
        <w:t>一、检测及评定任务</w:t>
      </w:r>
      <w:bookmarkEnd w:id="0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对机井灌溉控制器产品（技术）的固态存储功能、数据采集、异常处理、IC卡部分、其他技术指标进行检测和评定，出具测评报告。</w:t>
      </w:r>
    </w:p>
    <w:p w:rsidR="000E037F" w:rsidRPr="000E037F" w:rsidRDefault="000E037F" w:rsidP="000E037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1" w:name="_Toc423035771"/>
      <w:r w:rsidRPr="000E037F">
        <w:rPr>
          <w:rFonts w:ascii="华文中宋" w:eastAsia="黑体" w:hAnsi="华文中宋" w:hint="eastAsia"/>
          <w:kern w:val="44"/>
          <w:szCs w:val="36"/>
        </w:rPr>
        <w:t>二、检测及评定主要依据</w:t>
      </w:r>
      <w:bookmarkEnd w:id="1"/>
    </w:p>
    <w:p w:rsidR="000E037F" w:rsidRPr="000E037F" w:rsidRDefault="002542A8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>
        <w:rPr>
          <w:rFonts w:ascii="仿宋" w:eastAsia="仿宋" w:hAnsi="仿宋" w:hint="eastAsia"/>
          <w:szCs w:val="20"/>
        </w:rPr>
        <w:t>1.GB 4208-2008</w:t>
      </w:r>
      <w:r w:rsidR="000E037F" w:rsidRPr="000E037F">
        <w:rPr>
          <w:rFonts w:ascii="仿宋" w:eastAsia="仿宋" w:hAnsi="仿宋" w:hint="eastAsia"/>
          <w:szCs w:val="20"/>
        </w:rPr>
        <w:t>《外壳防护等级</w:t>
      </w:r>
      <w:r>
        <w:rPr>
          <w:rFonts w:ascii="仿宋" w:eastAsia="仿宋" w:hAnsi="仿宋" w:hint="eastAsia"/>
          <w:szCs w:val="20"/>
        </w:rPr>
        <w:t>(IP</w:t>
      </w:r>
      <w:r w:rsidR="000E037F" w:rsidRPr="000E037F">
        <w:rPr>
          <w:rFonts w:ascii="仿宋" w:eastAsia="仿宋" w:hAnsi="仿宋" w:hint="eastAsia"/>
          <w:szCs w:val="20"/>
        </w:rPr>
        <w:t>代码)》。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2.GB/T 9359-2001《水文仪器基本环境试验条件及方法》。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3.GB/T 17626.8-2006《电磁兼容试验和测量技术 工频磁场抗扰度试验》。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4.SL/T 149-2013《水文数据固态存储装置通用技术条件》。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5.SL 651-2014 《水文监测数据通信规约》。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6.委托检测合同中所约定的检测项目及技术指标。</w:t>
      </w:r>
    </w:p>
    <w:p w:rsidR="000E037F" w:rsidRPr="000E037F" w:rsidRDefault="000E037F" w:rsidP="000E037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2" w:name="_Toc423035772"/>
      <w:r w:rsidRPr="000E037F">
        <w:rPr>
          <w:rFonts w:ascii="华文中宋" w:eastAsia="黑体" w:hAnsi="华文中宋" w:hint="eastAsia"/>
          <w:kern w:val="44"/>
          <w:szCs w:val="36"/>
        </w:rPr>
        <w:t>三、检测设备及场所</w:t>
      </w:r>
      <w:bookmarkEnd w:id="2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组织单位提供水泵、水池等设施，可进行循环抽水试验，管径DN80。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数据接收中心，配有计算机、交换机等设备，方便送检现场安装配套软件。</w:t>
      </w:r>
    </w:p>
    <w:p w:rsidR="000E037F" w:rsidRPr="000E037F" w:rsidRDefault="000E037F" w:rsidP="000E037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3" w:name="_Toc423035773"/>
      <w:r w:rsidRPr="000E037F">
        <w:rPr>
          <w:rFonts w:ascii="华文中宋" w:eastAsia="黑体" w:hAnsi="华文中宋" w:hint="eastAsia"/>
          <w:kern w:val="44"/>
          <w:szCs w:val="36"/>
        </w:rPr>
        <w:t>四、送检仪器的安装调试</w:t>
      </w:r>
      <w:bookmarkEnd w:id="3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32"/>
        </w:rPr>
        <w:t>由送检单位提供受检仪器（机井灌溉控制器），及其配套部件（计量设备、手持抄表设备、配套软件等），并协助检测人员进行安装。仪器安装需符合检测的要求。试验进行前应调整好仪</w:t>
      </w:r>
      <w:r w:rsidRPr="000E037F">
        <w:rPr>
          <w:rFonts w:ascii="仿宋" w:eastAsia="仿宋" w:hAnsi="仿宋" w:hint="eastAsia"/>
          <w:szCs w:val="32"/>
        </w:rPr>
        <w:lastRenderedPageBreak/>
        <w:t>器，试验过程中不得对仪器再次调整。</w:t>
      </w:r>
    </w:p>
    <w:p w:rsidR="000E037F" w:rsidRPr="000E037F" w:rsidRDefault="000E037F" w:rsidP="000E037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4" w:name="_Toc423035774"/>
      <w:r w:rsidRPr="000E037F">
        <w:rPr>
          <w:rFonts w:ascii="华文中宋" w:eastAsia="黑体" w:hAnsi="华文中宋" w:hint="eastAsia"/>
          <w:kern w:val="44"/>
          <w:szCs w:val="36"/>
        </w:rPr>
        <w:t>五、固态存储功能检测</w:t>
      </w:r>
      <w:bookmarkEnd w:id="4"/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5" w:name="_Toc423035775"/>
      <w:r w:rsidRPr="000E037F">
        <w:rPr>
          <w:rFonts w:ascii="Cambria" w:eastAsia="楷体" w:hAnsi="Cambria" w:cs="黑体" w:hint="eastAsia"/>
          <w:bCs/>
          <w:szCs w:val="32"/>
        </w:rPr>
        <w:t>（一）容量</w:t>
      </w:r>
      <w:bookmarkEnd w:id="5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</w:t>
      </w:r>
      <w:r w:rsidRPr="000E037F">
        <w:rPr>
          <w:rFonts w:ascii="仿宋" w:eastAsia="仿宋" w:hAnsi="仿宋" w:hint="eastAsia"/>
          <w:szCs w:val="32"/>
        </w:rPr>
        <w:t>存储记录数据应不小于1000条用水记录。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2.检测方法：送检单位应预先在机井灌溉控制器中存储至少1000条用水记录，在检测人员的监督下，通过手持抄表设备或无线方式传输至配套软件的指定数据表，确认数据表新增记录数1000条（含）以上，记为通过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6" w:name="_Toc423035776"/>
      <w:r w:rsidRPr="000E037F">
        <w:rPr>
          <w:rFonts w:ascii="Cambria" w:eastAsia="楷体" w:hAnsi="Cambria" w:cs="黑体" w:hint="eastAsia"/>
          <w:bCs/>
          <w:szCs w:val="32"/>
        </w:rPr>
        <w:t>（二）存储准确</w:t>
      </w:r>
      <w:bookmarkEnd w:id="6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</w:t>
      </w:r>
      <w:r w:rsidRPr="000E037F">
        <w:rPr>
          <w:rFonts w:ascii="仿宋" w:eastAsia="仿宋" w:hAnsi="仿宋" w:hint="eastAsia"/>
          <w:szCs w:val="32"/>
        </w:rPr>
        <w:t>刷卡启停泵各50次，存储50条用水记录，且时间准确。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2.检测方法：</w:t>
      </w:r>
      <w:r w:rsidRPr="000E037F">
        <w:rPr>
          <w:rFonts w:ascii="仿宋" w:eastAsia="仿宋" w:hAnsi="仿宋" w:hint="eastAsia"/>
          <w:szCs w:val="32"/>
        </w:rPr>
        <w:t>送检单位在检测人员的监督下，刷卡启停泵各50次，每次记录开泵时间，停泵时间。通过手持抄表设备或无线方式传输至配套软件中，查看新增用水记录是否与记录数据时间相同，相同记为通过。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7" w:name="_Toc423035777"/>
      <w:r w:rsidRPr="000E037F">
        <w:rPr>
          <w:rFonts w:ascii="Cambria" w:eastAsia="楷体" w:hAnsi="Cambria" w:cs="黑体" w:hint="eastAsia"/>
          <w:bCs/>
          <w:szCs w:val="32"/>
        </w:rPr>
        <w:t>（三）数据下载</w:t>
      </w:r>
      <w:bookmarkEnd w:id="7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20"/>
        </w:rPr>
        <w:t>1.检测要求：应</w:t>
      </w:r>
      <w:r w:rsidRPr="000E037F">
        <w:rPr>
          <w:rFonts w:ascii="仿宋" w:eastAsia="仿宋" w:hAnsi="仿宋" w:hint="eastAsia"/>
          <w:szCs w:val="32"/>
        </w:rPr>
        <w:t>支持通过手持抄表设备进行数据下载。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20"/>
        </w:rPr>
        <w:t>2.检测方法：</w:t>
      </w:r>
      <w:r w:rsidRPr="000E037F">
        <w:rPr>
          <w:rFonts w:ascii="仿宋" w:eastAsia="仿宋" w:hAnsi="仿宋" w:hint="eastAsia"/>
          <w:szCs w:val="32"/>
        </w:rPr>
        <w:t>单计电产品（技术）与“固态存储功能--容量”检测同时进行。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32"/>
        </w:rPr>
        <w:t>水电双计量+远传产品（技术）：通过手持抄表设备，完整、准确的下载控制器的存储数据，记为通过。</w:t>
      </w:r>
    </w:p>
    <w:p w:rsidR="000E037F" w:rsidRPr="000E037F" w:rsidRDefault="000E037F" w:rsidP="000E037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8" w:name="_Toc423035778"/>
      <w:r w:rsidRPr="000E037F">
        <w:rPr>
          <w:rFonts w:ascii="华文中宋" w:eastAsia="黑体" w:hAnsi="华文中宋" w:hint="eastAsia"/>
          <w:kern w:val="44"/>
          <w:szCs w:val="36"/>
        </w:rPr>
        <w:lastRenderedPageBreak/>
        <w:t>六、数据采集检测</w:t>
      </w:r>
      <w:bookmarkEnd w:id="8"/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9" w:name="_Toc423035779"/>
      <w:r w:rsidRPr="000E037F">
        <w:rPr>
          <w:rFonts w:ascii="Cambria" w:eastAsia="楷体" w:hAnsi="Cambria" w:cs="黑体" w:hint="eastAsia"/>
          <w:bCs/>
          <w:szCs w:val="32"/>
        </w:rPr>
        <w:t>（一）电表采集</w:t>
      </w:r>
      <w:bookmarkEnd w:id="9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1.检测要求：应能采集脉冲电表或数字电表信号。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2.检测方法：现场刷卡启泵，</w:t>
      </w:r>
      <w:r w:rsidRPr="000E037F">
        <w:rPr>
          <w:rFonts w:ascii="仿宋" w:eastAsia="仿宋" w:hAnsi="仿宋" w:hint="eastAsia"/>
          <w:szCs w:val="32"/>
        </w:rPr>
        <w:t>采集脉冲电表或数字电表信号，通过手持抄表设备或配套软件，查看是否成功采集电表数据，采集记为通过。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0" w:name="_Toc423035780"/>
      <w:r w:rsidRPr="000E037F">
        <w:rPr>
          <w:rFonts w:ascii="Cambria" w:eastAsia="楷体" w:hAnsi="Cambria" w:cs="黑体" w:hint="eastAsia"/>
          <w:bCs/>
          <w:szCs w:val="32"/>
        </w:rPr>
        <w:t>（二）水表采集</w:t>
      </w:r>
      <w:bookmarkEnd w:id="10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单计电产品(技术)不测</w:t>
      </w:r>
      <w:r w:rsidR="002542A8">
        <w:rPr>
          <w:rFonts w:ascii="仿宋" w:eastAsia="仿宋" w:hAnsi="仿宋" w:hint="eastAsia"/>
          <w:szCs w:val="32"/>
        </w:rPr>
        <w:t>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1.检测要求：应能采集脉冲水表信号或数字计量信号。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2.检测方法：现场刷卡启泵，</w:t>
      </w:r>
      <w:r w:rsidRPr="000E037F">
        <w:rPr>
          <w:rFonts w:ascii="仿宋" w:eastAsia="仿宋" w:hAnsi="仿宋" w:hint="eastAsia"/>
          <w:szCs w:val="32"/>
        </w:rPr>
        <w:t>采集脉冲水表信号或数字计量信号，通过手持抄表设备或配套软件，查看是否成功采集水表数据，采集记为通过。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1" w:name="_Toc423035781"/>
      <w:r w:rsidRPr="000E037F">
        <w:rPr>
          <w:rFonts w:ascii="Cambria" w:eastAsia="楷体" w:hAnsi="Cambria" w:cs="黑体" w:hint="eastAsia"/>
          <w:bCs/>
          <w:szCs w:val="32"/>
        </w:rPr>
        <w:t>（三）读数准确</w:t>
      </w:r>
      <w:bookmarkEnd w:id="11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</w:t>
      </w:r>
      <w:r w:rsidRPr="000E037F">
        <w:rPr>
          <w:rFonts w:ascii="仿宋" w:eastAsia="仿宋" w:hAnsi="仿宋"/>
          <w:szCs w:val="20"/>
        </w:rPr>
        <w:t>水、电实际</w:t>
      </w:r>
      <w:r w:rsidRPr="000E037F">
        <w:rPr>
          <w:rFonts w:ascii="仿宋" w:eastAsia="仿宋" w:hAnsi="仿宋" w:hint="eastAsia"/>
          <w:szCs w:val="20"/>
        </w:rPr>
        <w:t>检测</w:t>
      </w:r>
      <w:r w:rsidRPr="000E037F">
        <w:rPr>
          <w:rFonts w:ascii="仿宋" w:eastAsia="仿宋" w:hAnsi="仿宋"/>
          <w:szCs w:val="20"/>
        </w:rPr>
        <w:t>值与控制器记录值的误差应不超过</w:t>
      </w:r>
      <w:r w:rsidRPr="000E037F">
        <w:rPr>
          <w:rFonts w:ascii="仿宋" w:eastAsia="仿宋" w:hAnsi="仿宋" w:hint="eastAsia"/>
          <w:szCs w:val="20"/>
        </w:rPr>
        <w:t>2</w:t>
      </w:r>
      <w:r w:rsidRPr="000E037F">
        <w:rPr>
          <w:rFonts w:ascii="仿宋" w:eastAsia="仿宋" w:hAnsi="仿宋"/>
          <w:szCs w:val="20"/>
        </w:rPr>
        <w:t>%</w:t>
      </w:r>
      <w:r w:rsidRPr="000E037F">
        <w:rPr>
          <w:rFonts w:ascii="仿宋" w:eastAsia="仿宋" w:hAnsi="仿宋" w:hint="eastAsia"/>
          <w:szCs w:val="20"/>
        </w:rPr>
        <w:t>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2.检测方法：</w:t>
      </w:r>
      <w:r w:rsidRPr="000E037F">
        <w:rPr>
          <w:rFonts w:ascii="仿宋" w:eastAsia="仿宋" w:hAnsi="仿宋" w:hint="eastAsia"/>
          <w:szCs w:val="32"/>
        </w:rPr>
        <w:t>启泵后，连续抽水10分钟，水表、电表的实际检测值与机井灌溉控制器所记录的本次用水量、本次用电量之间的误差不得超过2%。重复3次，误差都未超过2%，记为通过。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2" w:name="_Toc423035782"/>
      <w:r w:rsidRPr="000E037F">
        <w:rPr>
          <w:rFonts w:ascii="Cambria" w:eastAsia="楷体" w:hAnsi="Cambria" w:cs="黑体" w:hint="eastAsia"/>
          <w:bCs/>
          <w:szCs w:val="32"/>
        </w:rPr>
        <w:t>（四）上报准确</w:t>
      </w:r>
      <w:bookmarkEnd w:id="12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</w:t>
      </w:r>
      <w:r w:rsidRPr="000E037F">
        <w:rPr>
          <w:rFonts w:ascii="仿宋" w:eastAsia="仿宋" w:hAnsi="仿宋" w:hint="eastAsia"/>
          <w:szCs w:val="32"/>
        </w:rPr>
        <w:t>控制器读数与上报读数应无误差。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2.检测方法：</w:t>
      </w:r>
      <w:r w:rsidRPr="000E037F">
        <w:rPr>
          <w:rFonts w:ascii="仿宋" w:eastAsia="仿宋" w:hAnsi="仿宋" w:hint="eastAsia"/>
          <w:szCs w:val="32"/>
        </w:rPr>
        <w:t>此项在“数据采集—读数准确”之后进行，停</w:t>
      </w:r>
      <w:r w:rsidRPr="000E037F">
        <w:rPr>
          <w:rFonts w:ascii="仿宋" w:eastAsia="仿宋" w:hAnsi="仿宋" w:hint="eastAsia"/>
          <w:szCs w:val="32"/>
        </w:rPr>
        <w:lastRenderedPageBreak/>
        <w:t>泵后，机井灌溉控制器上的本次用水量、本次用电量读数与配套软件本次用水量、本次用电量读数无误差，重复3次，都无误差，记为通过。</w:t>
      </w:r>
    </w:p>
    <w:p w:rsidR="000E037F" w:rsidRPr="000E037F" w:rsidRDefault="000E037F" w:rsidP="000E037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13" w:name="_Toc423035783"/>
      <w:r w:rsidRPr="000E037F">
        <w:rPr>
          <w:rFonts w:ascii="华文中宋" w:eastAsia="黑体" w:hAnsi="华文中宋" w:hint="eastAsia"/>
          <w:kern w:val="44"/>
          <w:szCs w:val="36"/>
        </w:rPr>
        <w:t>七、异常处理检测</w:t>
      </w:r>
      <w:bookmarkEnd w:id="13"/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4" w:name="_Toc423035784"/>
      <w:r w:rsidRPr="000E037F">
        <w:rPr>
          <w:rFonts w:ascii="Cambria" w:eastAsia="楷体" w:hAnsi="Cambria" w:cs="黑体" w:hint="eastAsia"/>
          <w:bCs/>
          <w:szCs w:val="32"/>
        </w:rPr>
        <w:t>（一）停电处理</w:t>
      </w:r>
      <w:bookmarkEnd w:id="14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</w:t>
      </w:r>
      <w:r w:rsidRPr="000E037F">
        <w:rPr>
          <w:rFonts w:ascii="仿宋" w:eastAsia="仿宋" w:hAnsi="仿宋" w:hint="eastAsia"/>
          <w:szCs w:val="32"/>
        </w:rPr>
        <w:t>停电后，恢复供电，系统应能够正确处理。</w:t>
      </w:r>
    </w:p>
    <w:p w:rsidR="000E037F" w:rsidRPr="004A359E" w:rsidRDefault="000E037F" w:rsidP="004A359E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</w:t>
      </w:r>
      <w:r w:rsidR="004A359E">
        <w:rPr>
          <w:rFonts w:ascii="仿宋" w:eastAsia="仿宋" w:hAnsi="仿宋" w:hint="eastAsia"/>
          <w:szCs w:val="20"/>
        </w:rPr>
        <w:t>：</w:t>
      </w:r>
      <w:r w:rsidRPr="000E037F">
        <w:rPr>
          <w:rFonts w:ascii="仿宋" w:eastAsia="仿宋" w:hAnsi="仿宋" w:hint="eastAsia"/>
          <w:szCs w:val="32"/>
        </w:rPr>
        <w:t>刷卡启泵后，连续抽水10分钟。人为断电5分钟，恢复供电，系统应能够完成如下操作，保障系统正常运行，记为通过。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（1）再次刷同一张用户卡，控制器能够自动上传停电前用户的用水量、用电量数据。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（2）如果用户卡遗失，管理人员通过刷取数卡，能够将上一用户的用水量、用电量数据取出，再手动导入到配套软件中进行查看。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32"/>
        </w:rPr>
        <w:t>其他用户可正常灌溉。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5" w:name="_Toc423035785"/>
      <w:r w:rsidRPr="000E037F">
        <w:rPr>
          <w:rFonts w:ascii="Cambria" w:eastAsia="楷体" w:hAnsi="Cambria" w:cs="黑体" w:hint="eastAsia"/>
          <w:bCs/>
          <w:szCs w:val="32"/>
        </w:rPr>
        <w:t>（二）紧急停水</w:t>
      </w:r>
      <w:bookmarkEnd w:id="15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1.检测要求：用户卡失效后，应可以紧急停水，待村管理人员处理。</w:t>
      </w:r>
    </w:p>
    <w:p w:rsidR="000E037F" w:rsidRPr="004A359E" w:rsidRDefault="000E037F" w:rsidP="004A359E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</w:t>
      </w:r>
      <w:r w:rsidR="004A359E">
        <w:rPr>
          <w:rFonts w:ascii="仿宋" w:eastAsia="仿宋" w:hAnsi="仿宋" w:hint="eastAsia"/>
          <w:szCs w:val="20"/>
        </w:rPr>
        <w:t>：</w:t>
      </w:r>
      <w:r w:rsidRPr="000E037F">
        <w:rPr>
          <w:rFonts w:ascii="仿宋" w:eastAsia="仿宋" w:hAnsi="仿宋" w:hint="eastAsia"/>
          <w:szCs w:val="32"/>
        </w:rPr>
        <w:t>当用户卡丢失，或者用户卡失效后，能够通过急停按钮紧急停泵。用户直接关闭空开停泵的方法记为不通过。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紧急停泵后，系统应能够完成如下操作，不影响其他用户再</w:t>
      </w:r>
      <w:r w:rsidRPr="000E037F">
        <w:rPr>
          <w:rFonts w:ascii="仿宋" w:eastAsia="仿宋" w:hAnsi="仿宋" w:hint="eastAsia"/>
          <w:szCs w:val="32"/>
        </w:rPr>
        <w:lastRenderedPageBreak/>
        <w:t>次使用。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（1）紧急停泵后，村管理人员通过刷取数卡，将上一用户的用水量、用电量数据取出，再手动导入到配套软件中进行查看。其他用户可正常灌溉。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32"/>
        </w:rPr>
        <w:t>（2）紧急停泵后，若丢失的用户卡找到，再次刷卡后，可继续灌溉。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6" w:name="_Toc423035786"/>
      <w:r w:rsidRPr="000E037F">
        <w:rPr>
          <w:rFonts w:ascii="Cambria" w:eastAsia="楷体" w:hAnsi="Cambria" w:cs="黑体" w:hint="eastAsia"/>
          <w:bCs/>
          <w:szCs w:val="32"/>
        </w:rPr>
        <w:t>（三）断网</w:t>
      </w:r>
      <w:bookmarkEnd w:id="16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单计电产品(技术)不测。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</w:t>
      </w:r>
      <w:r w:rsidRPr="000E037F">
        <w:rPr>
          <w:rFonts w:ascii="仿宋" w:eastAsia="仿宋" w:hAnsi="仿宋" w:hint="eastAsia"/>
          <w:szCs w:val="32"/>
        </w:rPr>
        <w:t>断网后再恢复联网，数据可以补报。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2.检测方法：</w:t>
      </w:r>
      <w:r w:rsidRPr="000E037F">
        <w:rPr>
          <w:rFonts w:ascii="仿宋" w:eastAsia="仿宋" w:hAnsi="仿宋" w:hint="eastAsia"/>
          <w:szCs w:val="32"/>
        </w:rPr>
        <w:t>启泵后，监控中心断网，刷卡停泵。数据无法上传。恢复联网，再次刷卡启泵、停泵后，将本次用水记录，连同断网期间未上传记录一同上传至监控中心，可在配套软件中查询补报数据。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7" w:name="_Toc423035787"/>
      <w:r w:rsidRPr="000E037F">
        <w:rPr>
          <w:rFonts w:ascii="Cambria" w:eastAsia="楷体" w:hAnsi="Cambria" w:cs="黑体" w:hint="eastAsia"/>
          <w:bCs/>
          <w:szCs w:val="32"/>
        </w:rPr>
        <w:t>（四）禁止多人同刷</w:t>
      </w:r>
      <w:bookmarkEnd w:id="17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</w:t>
      </w:r>
      <w:r w:rsidRPr="000E037F">
        <w:rPr>
          <w:rFonts w:ascii="仿宋" w:eastAsia="仿宋" w:hAnsi="仿宋" w:hint="eastAsia"/>
          <w:szCs w:val="32"/>
        </w:rPr>
        <w:t>正在灌溉的机井，其它用户不能使用。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2.检测方法：</w:t>
      </w:r>
      <w:r w:rsidRPr="000E037F">
        <w:rPr>
          <w:rFonts w:ascii="仿宋" w:eastAsia="仿宋" w:hAnsi="仿宋" w:hint="eastAsia"/>
          <w:szCs w:val="32"/>
        </w:rPr>
        <w:t>刷用户1号卡正常启泵后，再刷用户2号卡、用户3号卡，现有灌溉不受影响，正常进行，并在控制器显示屏上有相关提示。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8" w:name="_Toc423035788"/>
      <w:r w:rsidRPr="000E037F">
        <w:rPr>
          <w:rFonts w:ascii="Cambria" w:eastAsia="楷体" w:hAnsi="Cambria" w:cs="黑体" w:hint="eastAsia"/>
          <w:bCs/>
          <w:szCs w:val="32"/>
        </w:rPr>
        <w:t>（五）禁止非授权卡使用</w:t>
      </w:r>
      <w:bookmarkEnd w:id="18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</w:t>
      </w:r>
      <w:r w:rsidRPr="000E037F">
        <w:rPr>
          <w:rFonts w:ascii="仿宋" w:eastAsia="仿宋" w:hAnsi="仿宋" w:hint="eastAsia"/>
          <w:szCs w:val="32"/>
        </w:rPr>
        <w:t>禁止非经授权的卡在本地充值、刷卡使用。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20"/>
        </w:rPr>
        <w:t>2.检测方法：</w:t>
      </w:r>
      <w:r w:rsidRPr="000E037F">
        <w:rPr>
          <w:rFonts w:ascii="仿宋" w:eastAsia="仿宋" w:hAnsi="仿宋" w:hint="eastAsia"/>
          <w:szCs w:val="32"/>
        </w:rPr>
        <w:t>送检单位通过A村用户卡启泵，再通过自带的</w:t>
      </w:r>
      <w:r w:rsidRPr="000E037F">
        <w:rPr>
          <w:rFonts w:ascii="仿宋" w:eastAsia="仿宋" w:hAnsi="仿宋" w:hint="eastAsia"/>
          <w:szCs w:val="32"/>
        </w:rPr>
        <w:lastRenderedPageBreak/>
        <w:t>配套软件（B村村级平台）开卡2张，并充值。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（1）用2张B村卡分别在配套软件（A村村级平台）进行充值操作，充值不成功，且有相关提示。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（2）用2张B村卡分别刷卡，现有灌溉不受影响，正常进行，并在控制器显示屏上显示相关提示。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9" w:name="_Toc423035789"/>
      <w:r w:rsidRPr="000E037F">
        <w:rPr>
          <w:rFonts w:ascii="Cambria" w:eastAsia="楷体" w:hAnsi="Cambria" w:cs="黑体" w:hint="eastAsia"/>
          <w:bCs/>
          <w:szCs w:val="32"/>
        </w:rPr>
        <w:t>（六）系统失效不影响灌溉</w:t>
      </w:r>
      <w:bookmarkEnd w:id="19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</w:t>
      </w:r>
      <w:r w:rsidRPr="000E037F">
        <w:rPr>
          <w:rFonts w:ascii="仿宋" w:eastAsia="仿宋" w:hAnsi="仿宋" w:hint="eastAsia"/>
          <w:szCs w:val="32"/>
        </w:rPr>
        <w:t>系统失效后，电工可以直接灌溉，不影响用户作物生长。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20"/>
        </w:rPr>
        <w:t>2.检测方法：</w:t>
      </w:r>
      <w:r w:rsidRPr="000E037F">
        <w:rPr>
          <w:rFonts w:ascii="仿宋" w:eastAsia="仿宋" w:hAnsi="仿宋" w:hint="eastAsia"/>
          <w:szCs w:val="32"/>
        </w:rPr>
        <w:t>送检单位在检测人员的监督下，未通过刷卡，直接启动、关闭水泵。但此项操作的开关，需设置在控制箱内。</w:t>
      </w:r>
    </w:p>
    <w:p w:rsidR="000E037F" w:rsidRPr="000E037F" w:rsidRDefault="000E037F" w:rsidP="000E037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20" w:name="_Toc423035790"/>
      <w:r w:rsidRPr="000E037F">
        <w:rPr>
          <w:rFonts w:ascii="华文中宋" w:eastAsia="黑体" w:hAnsi="华文中宋" w:hint="eastAsia"/>
          <w:kern w:val="44"/>
          <w:szCs w:val="36"/>
        </w:rPr>
        <w:t>八、</w:t>
      </w:r>
      <w:r w:rsidRPr="000E037F">
        <w:rPr>
          <w:rFonts w:ascii="华文中宋" w:eastAsia="黑体" w:hAnsi="华文中宋" w:hint="eastAsia"/>
          <w:kern w:val="44"/>
          <w:szCs w:val="36"/>
        </w:rPr>
        <w:t>IC</w:t>
      </w:r>
      <w:r w:rsidRPr="000E037F">
        <w:rPr>
          <w:rFonts w:ascii="华文中宋" w:eastAsia="黑体" w:hAnsi="华文中宋" w:hint="eastAsia"/>
          <w:kern w:val="44"/>
          <w:szCs w:val="36"/>
        </w:rPr>
        <w:t>卡部分检测</w:t>
      </w:r>
      <w:bookmarkEnd w:id="20"/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21" w:name="_Toc423035791"/>
      <w:r w:rsidRPr="000E037F">
        <w:rPr>
          <w:rFonts w:ascii="Cambria" w:eastAsia="楷体" w:hAnsi="Cambria" w:cs="黑体" w:hint="eastAsia"/>
          <w:bCs/>
          <w:szCs w:val="32"/>
        </w:rPr>
        <w:t>（一）刷卡稳定</w:t>
      </w:r>
      <w:bookmarkEnd w:id="21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</w:t>
      </w:r>
      <w:r w:rsidRPr="000E037F">
        <w:rPr>
          <w:rFonts w:ascii="仿宋" w:eastAsia="仿宋" w:hAnsi="仿宋" w:hint="eastAsia"/>
          <w:szCs w:val="32"/>
        </w:rPr>
        <w:t>刷卡启停泵各50次，全部成功。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2.检测方法：</w:t>
      </w:r>
      <w:r w:rsidRPr="000E037F">
        <w:rPr>
          <w:rFonts w:ascii="仿宋" w:eastAsia="仿宋" w:hAnsi="仿宋" w:hint="eastAsia"/>
          <w:szCs w:val="32"/>
        </w:rPr>
        <w:t>与“固态存储功能—存储准确”同时进行。刷卡启停泵各50次，全部成功记为通过。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22" w:name="_Toc423035792"/>
      <w:r w:rsidRPr="000E037F">
        <w:rPr>
          <w:rFonts w:ascii="Cambria" w:eastAsia="楷体" w:hAnsi="Cambria" w:cs="黑体" w:hint="eastAsia"/>
          <w:bCs/>
          <w:szCs w:val="32"/>
        </w:rPr>
        <w:t>（二）充值稳定</w:t>
      </w:r>
      <w:bookmarkEnd w:id="22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1.检测要求：充值100次，成功100次。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2.检测方法：送检单位在检测人员的监督下，随机为100张新卡进行充值的操作，全部成功记为通过。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以上过程如果有一次失误，允许补测一次。如果补测不成功，即为不通过。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23" w:name="_Toc423035793"/>
      <w:r w:rsidRPr="000E037F">
        <w:rPr>
          <w:rFonts w:ascii="Cambria" w:eastAsia="楷体" w:hAnsi="Cambria" w:cs="黑体" w:hint="eastAsia"/>
          <w:bCs/>
          <w:szCs w:val="32"/>
        </w:rPr>
        <w:lastRenderedPageBreak/>
        <w:t>（三）开卡稳定</w:t>
      </w:r>
      <w:bookmarkEnd w:id="23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1.检测要求：开卡100次，成功100次。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2.检测方法：送检单位在检测人员的监督下，随机为100张卡进行开卡的操作，全部成功记为通过。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以上过程如果有一次失误，允许补测一次。如果补测不成功，记为不通过。</w:t>
      </w:r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24" w:name="_Toc423035794"/>
      <w:r w:rsidRPr="000E037F">
        <w:rPr>
          <w:rFonts w:ascii="Cambria" w:eastAsia="楷体" w:hAnsi="Cambria" w:cs="黑体" w:hint="eastAsia"/>
          <w:bCs/>
          <w:szCs w:val="32"/>
        </w:rPr>
        <w:t>（四）销卡稳定</w:t>
      </w:r>
      <w:bookmarkEnd w:id="24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1.检测要求：销卡100次，成功100次。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2.检测方法：送检单位在检测人员的监督下，随机为100张卡进行销卡的操作，全部成功记为通过。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以上过程如果有一次失误，允许补测一次。如果补测不成功，记为不通过。</w:t>
      </w:r>
    </w:p>
    <w:p w:rsidR="000E037F" w:rsidRPr="000E037F" w:rsidRDefault="000E037F" w:rsidP="000E037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25" w:name="_Toc423035795"/>
      <w:r w:rsidRPr="000E037F">
        <w:rPr>
          <w:rFonts w:ascii="华文中宋" w:eastAsia="黑体" w:hAnsi="华文中宋" w:hint="eastAsia"/>
          <w:kern w:val="44"/>
          <w:szCs w:val="36"/>
        </w:rPr>
        <w:t>九、其他技术指标评定</w:t>
      </w:r>
      <w:bookmarkEnd w:id="25"/>
    </w:p>
    <w:p w:rsidR="000E037F" w:rsidRPr="000E037F" w:rsidRDefault="000E037F" w:rsidP="000E037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26" w:name="_Toc423035796"/>
      <w:r w:rsidRPr="000E037F">
        <w:rPr>
          <w:rFonts w:ascii="Cambria" w:eastAsia="楷体" w:hAnsi="Cambria" w:cs="黑体" w:hint="eastAsia"/>
          <w:bCs/>
          <w:szCs w:val="32"/>
        </w:rPr>
        <w:t>（一）维护性</w:t>
      </w:r>
      <w:bookmarkEnd w:id="26"/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1.评定要求：</w:t>
      </w:r>
      <w:r w:rsidRPr="000E037F">
        <w:rPr>
          <w:rFonts w:ascii="仿宋" w:eastAsia="仿宋" w:hAnsi="仿宋" w:hint="eastAsia"/>
          <w:szCs w:val="32"/>
        </w:rPr>
        <w:t>井房内布线规范，设备可拆卸，替换容易。</w:t>
      </w:r>
    </w:p>
    <w:p w:rsidR="000E037F" w:rsidRP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0E037F">
        <w:rPr>
          <w:rFonts w:ascii="仿宋" w:eastAsia="仿宋" w:hAnsi="仿宋" w:hint="eastAsia"/>
          <w:szCs w:val="20"/>
        </w:rPr>
        <w:t>2.评定方法：</w:t>
      </w:r>
      <w:r w:rsidRPr="000E037F">
        <w:rPr>
          <w:rFonts w:ascii="仿宋" w:eastAsia="仿宋" w:hAnsi="仿宋" w:hint="eastAsia"/>
          <w:szCs w:val="32"/>
        </w:rPr>
        <w:t>由专家评定，设备柜及其内部设备是否具有以下特点：设备柜内布线规范，设备可拆卸，替换容易，具有记为通过。</w:t>
      </w:r>
    </w:p>
    <w:p w:rsidR="000E037F" w:rsidRPr="000E037F" w:rsidRDefault="000E037F" w:rsidP="000E037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27" w:name="_Toc423035797"/>
      <w:r w:rsidRPr="000E037F">
        <w:rPr>
          <w:rFonts w:ascii="华文中宋" w:eastAsia="黑体" w:hAnsi="华文中宋" w:hint="eastAsia"/>
          <w:kern w:val="44"/>
          <w:szCs w:val="36"/>
        </w:rPr>
        <w:t>十、检测及评定结果</w:t>
      </w:r>
      <w:bookmarkEnd w:id="27"/>
    </w:p>
    <w:p w:rsidR="000E037F" w:rsidRDefault="000E037F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0E037F">
        <w:rPr>
          <w:rFonts w:ascii="仿宋" w:eastAsia="仿宋" w:hAnsi="仿宋" w:hint="eastAsia"/>
          <w:szCs w:val="32"/>
        </w:rPr>
        <w:t>1.机井灌溉控制器户外检测及评定结果，见下表：</w:t>
      </w:r>
    </w:p>
    <w:p w:rsidR="004A359E" w:rsidRPr="000E037F" w:rsidRDefault="004A359E" w:rsidP="000E037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5"/>
        <w:gridCol w:w="2916"/>
        <w:gridCol w:w="2254"/>
        <w:gridCol w:w="2615"/>
      </w:tblGrid>
      <w:tr w:rsidR="000E037F" w:rsidRPr="000E037F" w:rsidTr="00686E72">
        <w:trPr>
          <w:trHeight w:val="558"/>
        </w:trPr>
        <w:tc>
          <w:tcPr>
            <w:tcW w:w="9060" w:type="dxa"/>
            <w:gridSpan w:val="4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  <w:u w:val="single"/>
              </w:rPr>
            </w:pPr>
            <w:r w:rsidRPr="000E037F"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单位名称：</w:t>
            </w:r>
            <w:r w:rsidRPr="000E037F"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</w:t>
            </w:r>
            <w:r w:rsidRPr="000E037F">
              <w:rPr>
                <w:rFonts w:ascii="仿宋" w:eastAsia="仿宋" w:hAnsi="仿宋" w:hint="eastAsia"/>
                <w:b/>
                <w:sz w:val="24"/>
                <w:szCs w:val="24"/>
              </w:rPr>
              <w:t>代表签字：</w:t>
            </w:r>
          </w:p>
        </w:tc>
      </w:tr>
      <w:tr w:rsidR="000E037F" w:rsidRPr="000E037F" w:rsidTr="00686E72">
        <w:trPr>
          <w:trHeight w:val="501"/>
        </w:trPr>
        <w:tc>
          <w:tcPr>
            <w:tcW w:w="9060" w:type="dxa"/>
            <w:gridSpan w:val="4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b/>
                <w:sz w:val="24"/>
                <w:szCs w:val="24"/>
              </w:rPr>
              <w:t>仪器名称：                                仪器型号：</w:t>
            </w:r>
          </w:p>
        </w:tc>
      </w:tr>
      <w:tr w:rsidR="000E037F" w:rsidRPr="000E037F" w:rsidTr="00686E72">
        <w:trPr>
          <w:trHeight w:val="510"/>
          <w:tblHeader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916" w:type="dxa"/>
          </w:tcPr>
          <w:p w:rsidR="000E037F" w:rsidRPr="000E037F" w:rsidRDefault="000E037F" w:rsidP="000E037F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b/>
                <w:sz w:val="24"/>
                <w:szCs w:val="24"/>
              </w:rPr>
              <w:t>测评科目</w:t>
            </w:r>
          </w:p>
        </w:tc>
        <w:tc>
          <w:tcPr>
            <w:tcW w:w="2254" w:type="dxa"/>
          </w:tcPr>
          <w:p w:rsidR="000E037F" w:rsidRPr="000E037F" w:rsidRDefault="000E037F" w:rsidP="000E037F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b/>
                <w:sz w:val="24"/>
                <w:szCs w:val="24"/>
              </w:rPr>
              <w:t>内容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b/>
                <w:sz w:val="24"/>
                <w:szCs w:val="24"/>
              </w:rPr>
              <w:t>测评结果</w:t>
            </w: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2916" w:type="dxa"/>
            <w:vMerge w:val="restart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固态存储功能</w:t>
            </w: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容量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2916" w:type="dxa"/>
            <w:vMerge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存储准确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2916" w:type="dxa"/>
            <w:vMerge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数据下载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2916" w:type="dxa"/>
            <w:vMerge w:val="restart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数据采集</w:t>
            </w: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电表采集</w:t>
            </w:r>
          </w:p>
        </w:tc>
        <w:tc>
          <w:tcPr>
            <w:tcW w:w="2615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2916" w:type="dxa"/>
            <w:vMerge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水表采集</w:t>
            </w:r>
          </w:p>
        </w:tc>
        <w:tc>
          <w:tcPr>
            <w:tcW w:w="2615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2916" w:type="dxa"/>
            <w:vMerge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/>
                <w:sz w:val="24"/>
                <w:szCs w:val="24"/>
              </w:rPr>
              <w:t>读数准确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2916" w:type="dxa"/>
            <w:vMerge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/>
                <w:sz w:val="24"/>
                <w:szCs w:val="24"/>
              </w:rPr>
              <w:t>上报准确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2916" w:type="dxa"/>
            <w:vMerge w:val="restart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异常处理</w:t>
            </w: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停电处理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2916" w:type="dxa"/>
            <w:vMerge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紧急停水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  <w:tc>
          <w:tcPr>
            <w:tcW w:w="2916" w:type="dxa"/>
            <w:vMerge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断网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11</w:t>
            </w:r>
          </w:p>
        </w:tc>
        <w:tc>
          <w:tcPr>
            <w:tcW w:w="2916" w:type="dxa"/>
            <w:vMerge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禁止多人同刷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2916" w:type="dxa"/>
            <w:vMerge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禁止非授权卡使用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13</w:t>
            </w:r>
          </w:p>
        </w:tc>
        <w:tc>
          <w:tcPr>
            <w:tcW w:w="2916" w:type="dxa"/>
            <w:vMerge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系统失效不影响灌溉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14</w:t>
            </w:r>
          </w:p>
        </w:tc>
        <w:tc>
          <w:tcPr>
            <w:tcW w:w="2916" w:type="dxa"/>
            <w:vMerge w:val="restart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IC卡部分</w:t>
            </w: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刷卡稳定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15</w:t>
            </w:r>
          </w:p>
        </w:tc>
        <w:tc>
          <w:tcPr>
            <w:tcW w:w="2916" w:type="dxa"/>
            <w:vMerge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充值稳定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16</w:t>
            </w:r>
          </w:p>
        </w:tc>
        <w:tc>
          <w:tcPr>
            <w:tcW w:w="2916" w:type="dxa"/>
            <w:vMerge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开卡稳定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17</w:t>
            </w:r>
          </w:p>
        </w:tc>
        <w:tc>
          <w:tcPr>
            <w:tcW w:w="2916" w:type="dxa"/>
            <w:vMerge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销卡稳定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0E037F" w:rsidRPr="000E037F" w:rsidTr="00686E72">
        <w:trPr>
          <w:trHeight w:val="510"/>
        </w:trPr>
        <w:tc>
          <w:tcPr>
            <w:tcW w:w="1275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18</w:t>
            </w:r>
          </w:p>
        </w:tc>
        <w:tc>
          <w:tcPr>
            <w:tcW w:w="2916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其他技术指标</w:t>
            </w:r>
          </w:p>
        </w:tc>
        <w:tc>
          <w:tcPr>
            <w:tcW w:w="2254" w:type="dxa"/>
            <w:vAlign w:val="center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0E037F">
              <w:rPr>
                <w:rFonts w:ascii="仿宋" w:eastAsia="仿宋" w:hAnsi="仿宋" w:hint="eastAsia"/>
                <w:sz w:val="24"/>
                <w:szCs w:val="24"/>
              </w:rPr>
              <w:t>维护性</w:t>
            </w:r>
          </w:p>
        </w:tc>
        <w:tc>
          <w:tcPr>
            <w:tcW w:w="2615" w:type="dxa"/>
          </w:tcPr>
          <w:p w:rsidR="000E037F" w:rsidRPr="000E037F" w:rsidRDefault="000E037F" w:rsidP="000E037F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0E037F" w:rsidRPr="000E037F" w:rsidRDefault="000E037F" w:rsidP="000E037F">
      <w:pPr>
        <w:spacing w:line="440" w:lineRule="exact"/>
        <w:rPr>
          <w:rFonts w:ascii="仿宋" w:eastAsia="仿宋" w:hAnsi="仿宋"/>
          <w:szCs w:val="32"/>
        </w:rPr>
      </w:pPr>
    </w:p>
    <w:p w:rsidR="00695553" w:rsidRPr="00B77762" w:rsidRDefault="000E037F" w:rsidP="000E037F">
      <w:pPr>
        <w:ind w:firstLineChars="200" w:firstLine="640"/>
      </w:pPr>
      <w:r w:rsidRPr="000E037F">
        <w:rPr>
          <w:rFonts w:ascii="仿宋" w:eastAsia="仿宋" w:hAnsi="仿宋" w:hint="eastAsia"/>
          <w:szCs w:val="32"/>
        </w:rPr>
        <w:t>2.产品(技术)测评报告。由检测单位会同承办单位，根据测评结果统一</w:t>
      </w:r>
      <w:r w:rsidR="005C454E">
        <w:rPr>
          <w:rFonts w:ascii="仿宋" w:eastAsia="仿宋" w:hAnsi="仿宋" w:hint="eastAsia"/>
          <w:szCs w:val="32"/>
        </w:rPr>
        <w:t>出具</w:t>
      </w:r>
      <w:r w:rsidRPr="000E037F">
        <w:rPr>
          <w:rFonts w:ascii="仿宋" w:eastAsia="仿宋" w:hAnsi="仿宋" w:hint="eastAsia"/>
          <w:szCs w:val="32"/>
        </w:rPr>
        <w:t>。</w:t>
      </w:r>
    </w:p>
    <w:sectPr w:rsidR="00695553" w:rsidRPr="00B77762" w:rsidSect="00873F83">
      <w:footerReference w:type="even" r:id="rId8"/>
      <w:footerReference w:type="default" r:id="rId9"/>
      <w:pgSz w:w="11906" w:h="16838"/>
      <w:pgMar w:top="2098" w:right="1474" w:bottom="1985" w:left="1588" w:header="851" w:footer="992" w:gutter="0"/>
      <w:pgNumType w:start="1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2AB" w:rsidRDefault="007B22AB" w:rsidP="00B77762">
      <w:r>
        <w:separator/>
      </w:r>
    </w:p>
  </w:endnote>
  <w:endnote w:type="continuationSeparator" w:id="0">
    <w:p w:rsidR="007B22AB" w:rsidRDefault="007B22AB" w:rsidP="00B777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F83" w:rsidRDefault="00873F83">
    <w:pPr>
      <w:ind w:right="360"/>
      <w:jc w:val="left"/>
      <w:rPr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37F" w:rsidRDefault="000E037F">
    <w:pPr>
      <w:ind w:right="360"/>
      <w:jc w:val="left"/>
      <w:rPr>
        <w:sz w:val="28"/>
        <w:szCs w:val="28"/>
      </w:rPr>
    </w:pPr>
    <w:r>
      <w:rPr>
        <w:rStyle w:val="a5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="007C549B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</w:instrText>
    </w:r>
    <w:r w:rsidR="007C549B">
      <w:rPr>
        <w:sz w:val="28"/>
        <w:szCs w:val="28"/>
      </w:rPr>
      <w:fldChar w:fldCharType="separate"/>
    </w:r>
    <w:r w:rsidR="002542A8">
      <w:rPr>
        <w:noProof/>
        <w:sz w:val="28"/>
        <w:szCs w:val="28"/>
      </w:rPr>
      <w:t>8</w:t>
    </w:r>
    <w:r w:rsidR="007C549B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Style w:val="a5"/>
        <w:sz w:val="28"/>
        <w:szCs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37F" w:rsidRDefault="000E037F">
    <w:pPr>
      <w:framePr w:wrap="around" w:vAnchor="text" w:hAnchor="margin" w:xAlign="right" w:y="1"/>
      <w:ind w:right="360"/>
      <w:jc w:val="left"/>
      <w:rPr>
        <w:sz w:val="28"/>
        <w:szCs w:val="28"/>
      </w:rPr>
    </w:pPr>
    <w:r>
      <w:rPr>
        <w:rStyle w:val="a5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="007C549B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</w:instrText>
    </w:r>
    <w:r w:rsidR="007C549B">
      <w:rPr>
        <w:sz w:val="28"/>
        <w:szCs w:val="28"/>
      </w:rPr>
      <w:fldChar w:fldCharType="separate"/>
    </w:r>
    <w:r w:rsidR="002542A8">
      <w:rPr>
        <w:noProof/>
        <w:sz w:val="28"/>
        <w:szCs w:val="28"/>
      </w:rPr>
      <w:t>7</w:t>
    </w:r>
    <w:r w:rsidR="007C549B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Style w:val="a5"/>
        <w:sz w:val="28"/>
        <w:szCs w:val="28"/>
      </w:rPr>
      <w:t>—</w:t>
    </w:r>
  </w:p>
  <w:p w:rsidR="000E037F" w:rsidRDefault="000E037F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2AB" w:rsidRDefault="007B22AB" w:rsidP="00B77762">
      <w:r>
        <w:separator/>
      </w:r>
    </w:p>
  </w:footnote>
  <w:footnote w:type="continuationSeparator" w:id="0">
    <w:p w:rsidR="007B22AB" w:rsidRDefault="007B22AB" w:rsidP="00B777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7762"/>
    <w:rsid w:val="000E037F"/>
    <w:rsid w:val="002542A8"/>
    <w:rsid w:val="002F3D76"/>
    <w:rsid w:val="004A359E"/>
    <w:rsid w:val="005C454E"/>
    <w:rsid w:val="00695553"/>
    <w:rsid w:val="0073587A"/>
    <w:rsid w:val="007B22AB"/>
    <w:rsid w:val="007C549B"/>
    <w:rsid w:val="00873F83"/>
    <w:rsid w:val="008A5344"/>
    <w:rsid w:val="00B77762"/>
    <w:rsid w:val="00B80E6D"/>
    <w:rsid w:val="00B80F55"/>
    <w:rsid w:val="00D177FA"/>
    <w:rsid w:val="00D653EB"/>
    <w:rsid w:val="00EC0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762"/>
    <w:pPr>
      <w:widowControl w:val="0"/>
      <w:jc w:val="both"/>
    </w:pPr>
    <w:rPr>
      <w:rFonts w:ascii="宋体" w:eastAsia="仿宋_GB2312" w:hAnsi="宋体" w:cs="Times New Roman"/>
      <w:sz w:val="32"/>
    </w:rPr>
  </w:style>
  <w:style w:type="paragraph" w:styleId="1">
    <w:name w:val="heading 1"/>
    <w:basedOn w:val="a"/>
    <w:next w:val="a"/>
    <w:link w:val="1Char"/>
    <w:uiPriority w:val="9"/>
    <w:qFormat/>
    <w:rsid w:val="00B77762"/>
    <w:pPr>
      <w:tabs>
        <w:tab w:val="center" w:pos="4252"/>
        <w:tab w:val="right" w:pos="8504"/>
      </w:tabs>
      <w:spacing w:before="100" w:beforeAutospacing="1" w:after="100" w:afterAutospacing="1" w:line="580" w:lineRule="exact"/>
      <w:ind w:firstLineChars="200" w:firstLine="200"/>
      <w:jc w:val="left"/>
      <w:outlineLvl w:val="0"/>
    </w:pPr>
    <w:rPr>
      <w:rFonts w:ascii="华文中宋" w:eastAsia="黑体" w:hAnsi="华文中宋"/>
      <w:szCs w:val="36"/>
    </w:rPr>
  </w:style>
  <w:style w:type="paragraph" w:styleId="2">
    <w:name w:val="heading 2"/>
    <w:basedOn w:val="a"/>
    <w:next w:val="a"/>
    <w:link w:val="2Char1"/>
    <w:uiPriority w:val="9"/>
    <w:unhideWhenUsed/>
    <w:qFormat/>
    <w:rsid w:val="00B77762"/>
    <w:pPr>
      <w:keepNext/>
      <w:keepLines/>
      <w:spacing w:line="580" w:lineRule="exact"/>
      <w:ind w:firstLineChars="200" w:firstLine="200"/>
      <w:outlineLvl w:val="1"/>
    </w:pPr>
    <w:rPr>
      <w:rFonts w:ascii="Cambria" w:eastAsia="宋体" w:hAnsi="Cambria" w:cs="黑体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7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77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77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776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77762"/>
    <w:rPr>
      <w:rFonts w:ascii="华文中宋" w:eastAsia="黑体" w:hAnsi="华文中宋" w:cs="Times New Roman"/>
      <w:sz w:val="32"/>
      <w:szCs w:val="36"/>
    </w:rPr>
  </w:style>
  <w:style w:type="character" w:customStyle="1" w:styleId="2Char">
    <w:name w:val="标题 2 Char"/>
    <w:basedOn w:val="a0"/>
    <w:link w:val="2"/>
    <w:uiPriority w:val="9"/>
    <w:semiHidden/>
    <w:rsid w:val="00B777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10">
    <w:name w:val="toc 1"/>
    <w:basedOn w:val="a"/>
    <w:next w:val="a"/>
    <w:uiPriority w:val="39"/>
    <w:rsid w:val="00B77762"/>
    <w:pPr>
      <w:spacing w:line="360" w:lineRule="auto"/>
      <w:ind w:firstLineChars="200" w:firstLine="200"/>
    </w:pPr>
    <w:rPr>
      <w:rFonts w:ascii="仿宋" w:eastAsia="仿宋" w:hAnsi="仿宋"/>
      <w:szCs w:val="20"/>
    </w:rPr>
  </w:style>
  <w:style w:type="paragraph" w:styleId="20">
    <w:name w:val="toc 2"/>
    <w:basedOn w:val="a"/>
    <w:next w:val="a"/>
    <w:uiPriority w:val="39"/>
    <w:rsid w:val="00B77762"/>
    <w:pPr>
      <w:spacing w:line="360" w:lineRule="auto"/>
      <w:ind w:leftChars="200" w:left="420" w:firstLineChars="200" w:firstLine="200"/>
    </w:pPr>
    <w:rPr>
      <w:rFonts w:ascii="仿宋" w:eastAsia="仿宋" w:hAnsi="仿宋"/>
      <w:szCs w:val="20"/>
    </w:rPr>
  </w:style>
  <w:style w:type="character" w:styleId="a5">
    <w:name w:val="page number"/>
    <w:basedOn w:val="a0"/>
    <w:rsid w:val="00B77762"/>
  </w:style>
  <w:style w:type="character" w:styleId="a6">
    <w:name w:val="Hyperlink"/>
    <w:uiPriority w:val="99"/>
    <w:rsid w:val="00B77762"/>
    <w:rPr>
      <w:rFonts w:cs="Times New Roman"/>
      <w:color w:val="0000FF"/>
      <w:u w:val="single"/>
    </w:rPr>
  </w:style>
  <w:style w:type="character" w:customStyle="1" w:styleId="2Char1">
    <w:name w:val="标题 2 Char1"/>
    <w:link w:val="2"/>
    <w:uiPriority w:val="9"/>
    <w:rsid w:val="00B77762"/>
    <w:rPr>
      <w:rFonts w:ascii="Cambria" w:eastAsia="宋体" w:hAnsi="Cambria" w:cs="黑体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BD428-1C89-475F-A38F-09B16E522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798</Words>
  <Characters>4552</Characters>
  <Application>Microsoft Office Word</Application>
  <DocSecurity>0</DocSecurity>
  <Lines>37</Lines>
  <Paragraphs>10</Paragraphs>
  <ScaleCrop>false</ScaleCrop>
  <Company/>
  <LinksUpToDate>false</LinksUpToDate>
  <CharactersWithSpaces>5340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10</cp:revision>
  <dcterms:created xsi:type="dcterms:W3CDTF">2015-06-29T02:13:00Z</dcterms:created>
  <dcterms:modified xsi:type="dcterms:W3CDTF">2015-07-06T01:08:00Z</dcterms:modified>
</cp:coreProperties>
</file>