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60" w:lineRule="exact"/>
        <w:outlineLvl w:val="0"/>
        <w:rPr>
          <w:rFonts w:hint="eastAsia" w:ascii="宋体" w:hAnsi="宋体" w:eastAsia="宋体" w:cs="宋体"/>
          <w:sz w:val="24"/>
          <w:szCs w:val="24"/>
        </w:rPr>
      </w:pPr>
      <w:bookmarkStart w:id="0" w:name="_Toc410827751"/>
      <w:bookmarkStart w:id="1" w:name="_Toc424628858"/>
      <w:r>
        <w:rPr>
          <w:rFonts w:hint="eastAsia" w:ascii="宋体" w:hAnsi="宋体" w:eastAsia="宋体" w:cs="宋体"/>
          <w:sz w:val="24"/>
          <w:szCs w:val="24"/>
        </w:rPr>
        <w:t>附件1</w:t>
      </w:r>
    </w:p>
    <w:p>
      <w:pPr>
        <w:spacing w:line="440" w:lineRule="exact"/>
        <w:jc w:val="center"/>
        <w:outlineLvl w:val="1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2" w:name="_GoBack"/>
      <w:r>
        <w:rPr>
          <w:rFonts w:hint="eastAsia" w:ascii="宋体" w:hAnsi="宋体" w:eastAsia="宋体" w:cs="宋体"/>
          <w:b/>
          <w:bCs/>
          <w:sz w:val="24"/>
          <w:szCs w:val="24"/>
        </w:rPr>
        <w:t>贵州省重污染天气应急预案体系</w:t>
      </w:r>
      <w:bookmarkEnd w:id="2"/>
    </w:p>
    <w:bookmarkEnd w:id="0"/>
    <w:bookmarkEnd w:id="1"/>
    <w:p>
      <w:pPr>
        <w:spacing w:line="440" w:lineRule="exact"/>
        <w:jc w:val="both"/>
        <w:outlineLvl w:val="1"/>
        <w:rPr>
          <w:rFonts w:hint="eastAsia" w:ascii="宋体" w:hAnsi="宋体" w:eastAsia="宋体" w:cs="宋体"/>
          <w:sz w:val="24"/>
          <w:szCs w:val="24"/>
        </w:rPr>
      </w:pPr>
    </w:p>
    <w:p>
      <w:pPr/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4590415" cy="3399790"/>
            <wp:effectExtent l="0" t="0" r="635" b="10160"/>
            <wp:docPr id="121" name="图片 121" descr="贵州省重污染天气应急预案体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 descr="贵州省重污染天气应急预案体系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0415" cy="339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A06FB"/>
    <w:rsid w:val="1F7A06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2015-11-25T02:59:00Z</dcterms:created>
  <dc:creator>Administrator</dc:creator>
  <cp:lastModifiedBy>Administrator</cp:lastModifiedBy>
  <dcterms:modified xsi:type="dcterms:W3CDTF">2015-11-25T02:59:45Z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