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774E6" w:rsidRPr="00CE340D" w:rsidRDefault="00C774E6" w:rsidP="00873468">
      <w:pPr>
        <w:pStyle w:val="a3"/>
        <w:widowControl w:val="0"/>
        <w:shd w:val="clear" w:color="auto" w:fill="FFFFFF"/>
        <w:spacing w:before="0" w:beforeAutospacing="0" w:after="0" w:afterAutospacing="0" w:line="360" w:lineRule="auto"/>
        <w:jc w:val="center"/>
        <w:rPr>
          <w:rFonts w:ascii="华文中宋" w:eastAsia="华文中宋" w:hAnsi="华文中宋" w:cs="Tahoma"/>
          <w:sz w:val="36"/>
          <w:szCs w:val="36"/>
          <w:shd w:val="clear" w:color="auto" w:fill="FFFFFF"/>
        </w:rPr>
      </w:pPr>
      <w:bookmarkStart w:id="0" w:name="_GoBack"/>
      <w:bookmarkEnd w:id="0"/>
      <w:r w:rsidRPr="00CE340D">
        <w:rPr>
          <w:rFonts w:ascii="华文中宋" w:eastAsia="华文中宋" w:hAnsi="华文中宋" w:cs="华文中宋" w:hint="eastAsia"/>
          <w:sz w:val="36"/>
          <w:szCs w:val="36"/>
          <w:shd w:val="clear" w:color="auto" w:fill="FFFFFF"/>
        </w:rPr>
        <w:t>政府会计</w:t>
      </w:r>
      <w:proofErr w:type="gramStart"/>
      <w:r w:rsidRPr="00CE340D">
        <w:rPr>
          <w:rFonts w:ascii="华文中宋" w:eastAsia="华文中宋" w:hAnsi="华文中宋" w:cs="华文中宋" w:hint="eastAsia"/>
          <w:sz w:val="36"/>
          <w:szCs w:val="36"/>
          <w:shd w:val="clear" w:color="auto" w:fill="FFFFFF"/>
        </w:rPr>
        <w:t>准则第</w:t>
      </w:r>
      <w:proofErr w:type="gramEnd"/>
      <w:r w:rsidRPr="00CE340D">
        <w:rPr>
          <w:rFonts w:ascii="华文中宋" w:eastAsia="华文中宋" w:hAnsi="华文中宋" w:cs="华文中宋"/>
          <w:sz w:val="36"/>
          <w:szCs w:val="36"/>
          <w:shd w:val="clear" w:color="auto" w:fill="FFFFFF"/>
        </w:rPr>
        <w:t>XX</w:t>
      </w:r>
      <w:r w:rsidRPr="00CE340D">
        <w:rPr>
          <w:rFonts w:ascii="华文中宋" w:eastAsia="华文中宋" w:hAnsi="华文中宋" w:cs="华文中宋" w:hint="eastAsia"/>
          <w:sz w:val="36"/>
          <w:szCs w:val="36"/>
          <w:shd w:val="clear" w:color="auto" w:fill="FFFFFF"/>
        </w:rPr>
        <w:t>号</w:t>
      </w:r>
      <w:r w:rsidRPr="00CE340D">
        <w:rPr>
          <w:rFonts w:ascii="华文中宋" w:eastAsia="华文中宋" w:hAnsi="华文中宋" w:cs="华文中宋"/>
          <w:sz w:val="36"/>
          <w:szCs w:val="36"/>
          <w:shd w:val="clear" w:color="auto" w:fill="FFFFFF"/>
        </w:rPr>
        <w:t>——</w:t>
      </w:r>
      <w:r w:rsidRPr="00CE340D">
        <w:rPr>
          <w:rFonts w:ascii="华文中宋" w:eastAsia="华文中宋" w:hAnsi="华文中宋" w:cs="华文中宋" w:hint="eastAsia"/>
          <w:sz w:val="36"/>
          <w:szCs w:val="36"/>
          <w:shd w:val="clear" w:color="auto" w:fill="FFFFFF"/>
        </w:rPr>
        <w:t>公共基础设施</w:t>
      </w:r>
    </w:p>
    <w:p w:rsidR="00C774E6" w:rsidRPr="00CE340D" w:rsidRDefault="00C774E6" w:rsidP="00873468">
      <w:pPr>
        <w:pStyle w:val="a3"/>
        <w:widowControl w:val="0"/>
        <w:shd w:val="clear" w:color="auto" w:fill="FFFFFF"/>
        <w:spacing w:before="0" w:beforeAutospacing="0" w:after="0" w:afterAutospacing="0" w:line="360" w:lineRule="auto"/>
        <w:jc w:val="center"/>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（征求意见稿）</w:t>
      </w:r>
    </w:p>
    <w:p w:rsidR="00C774E6" w:rsidRPr="00CE340D" w:rsidRDefault="00C774E6" w:rsidP="00873468">
      <w:pPr>
        <w:pStyle w:val="a3"/>
        <w:widowControl w:val="0"/>
        <w:shd w:val="clear" w:color="auto" w:fill="FFFFFF"/>
        <w:spacing w:before="0" w:beforeAutospacing="0" w:after="0" w:afterAutospacing="0" w:line="360" w:lineRule="auto"/>
        <w:jc w:val="center"/>
        <w:rPr>
          <w:rFonts w:ascii="仿宋_GB2312" w:eastAsia="仿宋_GB2312" w:cs="Tahoma"/>
          <w:b/>
          <w:bCs/>
          <w:sz w:val="32"/>
          <w:szCs w:val="32"/>
          <w:shd w:val="clear" w:color="auto" w:fill="FFFFFF"/>
        </w:rPr>
      </w:pPr>
    </w:p>
    <w:p w:rsidR="00C774E6" w:rsidRPr="00CE340D" w:rsidRDefault="00C774E6" w:rsidP="00873468">
      <w:pPr>
        <w:pStyle w:val="a3"/>
        <w:widowControl w:val="0"/>
        <w:shd w:val="clear" w:color="auto" w:fill="FFFFFF"/>
        <w:spacing w:before="0" w:beforeAutospacing="0" w:after="0" w:afterAutospacing="0" w:line="360" w:lineRule="auto"/>
        <w:jc w:val="center"/>
        <w:rPr>
          <w:rFonts w:ascii="黑体" w:eastAsia="黑体" w:hAnsi="黑体" w:cs="Tahoma"/>
          <w:sz w:val="32"/>
          <w:szCs w:val="32"/>
          <w:shd w:val="clear" w:color="auto" w:fill="FFFFFF"/>
        </w:rPr>
      </w:pPr>
      <w:r w:rsidRPr="00CE340D">
        <w:rPr>
          <w:rFonts w:ascii="黑体" w:eastAsia="黑体" w:hAnsi="黑体" w:cs="黑体" w:hint="eastAsia"/>
          <w:sz w:val="32"/>
          <w:szCs w:val="32"/>
          <w:shd w:val="clear" w:color="auto" w:fill="FFFFFF"/>
        </w:rPr>
        <w:t>第一章</w:t>
      </w:r>
      <w:r w:rsidRPr="00CE340D">
        <w:rPr>
          <w:rFonts w:ascii="黑体" w:eastAsia="黑体" w:hAnsi="黑体" w:cs="黑体"/>
          <w:sz w:val="32"/>
          <w:szCs w:val="32"/>
          <w:shd w:val="clear" w:color="auto" w:fill="FFFFFF"/>
        </w:rPr>
        <w:t xml:space="preserve">  </w:t>
      </w:r>
      <w:r w:rsidRPr="00CE340D">
        <w:rPr>
          <w:rFonts w:ascii="黑体" w:eastAsia="黑体" w:hAnsi="黑体" w:cs="黑体" w:hint="eastAsia"/>
          <w:sz w:val="32"/>
          <w:szCs w:val="32"/>
          <w:shd w:val="clear" w:color="auto" w:fill="FFFFFF"/>
        </w:rPr>
        <w:t>总则</w:t>
      </w:r>
    </w:p>
    <w:p w:rsidR="00C774E6" w:rsidRPr="00CE340D" w:rsidRDefault="00C774E6" w:rsidP="00873468">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第一条（制定依据）</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为了规范公共基础设施的确认、计量和相关信息的披露，根据《政府会计准则</w:t>
      </w:r>
      <w:r w:rsidRPr="00CE340D">
        <w:rPr>
          <w:rFonts w:ascii="仿宋_GB2312" w:eastAsia="仿宋_GB2312" w:cs="仿宋_GB2312"/>
          <w:sz w:val="32"/>
          <w:szCs w:val="32"/>
          <w:shd w:val="clear" w:color="auto" w:fill="FFFFFF"/>
        </w:rPr>
        <w:t>——</w:t>
      </w:r>
      <w:r w:rsidRPr="00CE340D">
        <w:rPr>
          <w:rFonts w:ascii="仿宋_GB2312" w:eastAsia="仿宋_GB2312" w:cs="仿宋_GB2312" w:hint="eastAsia"/>
          <w:sz w:val="32"/>
          <w:szCs w:val="32"/>
          <w:shd w:val="clear" w:color="auto" w:fill="FFFFFF"/>
        </w:rPr>
        <w:t>基本准则》，制定本准则。</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第二条（公共基础设施定义和分类）</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本准则所称公共基础设施，是指政府会计主体为满足社会公众长期使用需要而</w:t>
      </w:r>
      <w:r w:rsidR="009B7577">
        <w:rPr>
          <w:rFonts w:ascii="仿宋_GB2312" w:eastAsia="仿宋_GB2312" w:cs="仿宋_GB2312" w:hint="eastAsia"/>
          <w:sz w:val="32"/>
          <w:szCs w:val="32"/>
          <w:shd w:val="clear" w:color="auto" w:fill="FFFFFF"/>
        </w:rPr>
        <w:t>负责管理维护</w:t>
      </w:r>
      <w:r w:rsidRPr="00CE340D">
        <w:rPr>
          <w:rFonts w:ascii="仿宋_GB2312" w:eastAsia="仿宋_GB2312" w:cs="仿宋_GB2312" w:hint="eastAsia"/>
          <w:sz w:val="32"/>
          <w:szCs w:val="32"/>
          <w:shd w:val="clear" w:color="auto" w:fill="FFFFFF"/>
        </w:rPr>
        <w:t>的，同时具有以下特征的有形资产：</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（一）是一个有形资产系统或网络的组成部分；</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（二）具有特定用途；</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（三）不可移动。</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公共基础</w:t>
      </w:r>
      <w:r w:rsidR="006460B2">
        <w:rPr>
          <w:rFonts w:ascii="仿宋_GB2312" w:eastAsia="仿宋_GB2312" w:cs="仿宋_GB2312" w:hint="eastAsia"/>
          <w:sz w:val="32"/>
          <w:szCs w:val="32"/>
          <w:shd w:val="clear" w:color="auto" w:fill="FFFFFF"/>
        </w:rPr>
        <w:t>设施</w:t>
      </w:r>
      <w:r w:rsidR="001D6F0A">
        <w:rPr>
          <w:rFonts w:ascii="仿宋_GB2312" w:eastAsia="仿宋_GB2312" w:cs="仿宋_GB2312" w:hint="eastAsia"/>
          <w:sz w:val="32"/>
          <w:szCs w:val="32"/>
          <w:shd w:val="clear" w:color="auto" w:fill="FFFFFF"/>
        </w:rPr>
        <w:t>主要</w:t>
      </w:r>
      <w:r w:rsidRPr="00CE340D">
        <w:rPr>
          <w:rFonts w:ascii="仿宋_GB2312" w:eastAsia="仿宋_GB2312" w:cs="仿宋_GB2312" w:hint="eastAsia"/>
          <w:sz w:val="32"/>
          <w:szCs w:val="32"/>
          <w:shd w:val="clear" w:color="auto" w:fill="FFFFFF"/>
        </w:rPr>
        <w:t>包括市政</w:t>
      </w:r>
      <w:r w:rsidR="001D6F0A">
        <w:rPr>
          <w:rFonts w:ascii="仿宋_GB2312" w:eastAsia="仿宋_GB2312" w:cs="仿宋_GB2312" w:hint="eastAsia"/>
          <w:sz w:val="32"/>
          <w:szCs w:val="32"/>
          <w:shd w:val="clear" w:color="auto" w:fill="FFFFFF"/>
        </w:rPr>
        <w:t>基础</w:t>
      </w:r>
      <w:r w:rsidRPr="00CE340D">
        <w:rPr>
          <w:rFonts w:ascii="仿宋_GB2312" w:eastAsia="仿宋_GB2312" w:cs="仿宋_GB2312" w:hint="eastAsia"/>
          <w:sz w:val="32"/>
          <w:szCs w:val="32"/>
          <w:shd w:val="clear" w:color="auto" w:fill="FFFFFF"/>
        </w:rPr>
        <w:t>设施（如城市道路、桥梁、隧道、公交、广场、</w:t>
      </w:r>
      <w:r w:rsidR="00B3763C">
        <w:rPr>
          <w:rFonts w:ascii="仿宋_GB2312" w:eastAsia="仿宋_GB2312" w:cs="仿宋_GB2312" w:hint="eastAsia"/>
          <w:sz w:val="32"/>
          <w:szCs w:val="32"/>
          <w:shd w:val="clear" w:color="auto" w:fill="FFFFFF"/>
        </w:rPr>
        <w:t>绿地、</w:t>
      </w:r>
      <w:r w:rsidRPr="00CE340D">
        <w:rPr>
          <w:rFonts w:ascii="仿宋_GB2312" w:eastAsia="仿宋_GB2312" w:cs="仿宋_GB2312" w:hint="eastAsia"/>
          <w:sz w:val="32"/>
          <w:szCs w:val="32"/>
          <w:shd w:val="clear" w:color="auto" w:fill="FFFFFF"/>
        </w:rPr>
        <w:t>排水、供水、</w:t>
      </w:r>
      <w:r w:rsidR="006460B2">
        <w:rPr>
          <w:rFonts w:ascii="仿宋_GB2312" w:eastAsia="仿宋_GB2312" w:cs="仿宋_GB2312" w:hint="eastAsia"/>
          <w:sz w:val="32"/>
          <w:szCs w:val="32"/>
          <w:shd w:val="clear" w:color="auto" w:fill="FFFFFF"/>
        </w:rPr>
        <w:t>供电、</w:t>
      </w:r>
      <w:r w:rsidRPr="00CE340D">
        <w:rPr>
          <w:rFonts w:ascii="仿宋_GB2312" w:eastAsia="仿宋_GB2312" w:cs="仿宋_GB2312" w:hint="eastAsia"/>
          <w:sz w:val="32"/>
          <w:szCs w:val="32"/>
          <w:shd w:val="clear" w:color="auto" w:fill="FFFFFF"/>
        </w:rPr>
        <w:t>供气、供热、污水处理、垃圾处理系统</w:t>
      </w:r>
      <w:r w:rsidR="001D6F0A" w:rsidRPr="00CE340D">
        <w:rPr>
          <w:rFonts w:ascii="仿宋_GB2312" w:eastAsia="仿宋_GB2312" w:cs="仿宋_GB2312" w:hint="eastAsia"/>
          <w:sz w:val="32"/>
          <w:szCs w:val="32"/>
          <w:shd w:val="clear" w:color="auto" w:fill="FFFFFF"/>
        </w:rPr>
        <w:t>等</w:t>
      </w:r>
      <w:r w:rsidRPr="00CE340D">
        <w:rPr>
          <w:rFonts w:ascii="仿宋_GB2312" w:eastAsia="仿宋_GB2312" w:cs="仿宋_GB2312" w:hint="eastAsia"/>
          <w:sz w:val="32"/>
          <w:szCs w:val="32"/>
          <w:shd w:val="clear" w:color="auto" w:fill="FFFFFF"/>
        </w:rPr>
        <w:t>）</w:t>
      </w:r>
      <w:r w:rsidR="001D6F0A">
        <w:rPr>
          <w:rFonts w:ascii="仿宋_GB2312" w:eastAsia="仿宋_GB2312" w:cs="仿宋_GB2312" w:hint="eastAsia"/>
          <w:sz w:val="32"/>
          <w:szCs w:val="32"/>
          <w:shd w:val="clear" w:color="auto" w:fill="FFFFFF"/>
        </w:rPr>
        <w:t>、交通基础设施（如公路、航道、港口等）、水利基础设施和其他公共基础设施</w:t>
      </w:r>
      <w:r w:rsidRPr="00CE340D">
        <w:rPr>
          <w:rFonts w:ascii="仿宋_GB2312" w:eastAsia="仿宋_GB2312" w:cs="仿宋_GB2312" w:hint="eastAsia"/>
          <w:sz w:val="32"/>
          <w:szCs w:val="32"/>
          <w:shd w:val="clear" w:color="auto" w:fill="FFFFFF"/>
        </w:rPr>
        <w:t>。</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第三条（准则范围排除）</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下列各项适用于其他相关政</w:t>
      </w:r>
      <w:r w:rsidRPr="00CE340D">
        <w:rPr>
          <w:rFonts w:ascii="仿宋_GB2312" w:eastAsia="仿宋_GB2312" w:cs="仿宋_GB2312" w:hint="eastAsia"/>
          <w:sz w:val="32"/>
          <w:szCs w:val="32"/>
          <w:shd w:val="clear" w:color="auto" w:fill="FFFFFF"/>
        </w:rPr>
        <w:lastRenderedPageBreak/>
        <w:t>府会计准则：</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（一）独立于公共基础设施、不构成公共基础设施使用不可缺少组成部分的管理维护用房屋建筑物、设备、车辆等，适用《政府会计准则第</w:t>
      </w:r>
      <w:r w:rsidRPr="00CE340D">
        <w:rPr>
          <w:rFonts w:ascii="仿宋_GB2312" w:eastAsia="仿宋_GB2312" w:cs="仿宋_GB2312"/>
          <w:sz w:val="32"/>
          <w:szCs w:val="32"/>
          <w:shd w:val="clear" w:color="auto" w:fill="FFFFFF"/>
        </w:rPr>
        <w:t>3</w:t>
      </w:r>
      <w:r w:rsidRPr="00CE340D">
        <w:rPr>
          <w:rFonts w:ascii="仿宋_GB2312" w:eastAsia="仿宋_GB2312" w:cs="仿宋_GB2312" w:hint="eastAsia"/>
          <w:sz w:val="32"/>
          <w:szCs w:val="32"/>
          <w:shd w:val="clear" w:color="auto" w:fill="FFFFFF"/>
        </w:rPr>
        <w:t>号</w:t>
      </w:r>
      <w:r w:rsidRPr="00CE340D">
        <w:rPr>
          <w:rFonts w:ascii="仿宋_GB2312" w:eastAsia="仿宋_GB2312" w:cs="仿宋_GB2312"/>
          <w:sz w:val="32"/>
          <w:szCs w:val="32"/>
          <w:shd w:val="clear" w:color="auto" w:fill="FFFFFF"/>
        </w:rPr>
        <w:t>——</w:t>
      </w:r>
      <w:r w:rsidRPr="00CE340D">
        <w:rPr>
          <w:rFonts w:ascii="仿宋_GB2312" w:eastAsia="仿宋_GB2312" w:cs="仿宋_GB2312" w:hint="eastAsia"/>
          <w:sz w:val="32"/>
          <w:szCs w:val="32"/>
          <w:shd w:val="clear" w:color="auto" w:fill="FFFFFF"/>
        </w:rPr>
        <w:t>固定资产》。</w:t>
      </w:r>
    </w:p>
    <w:p w:rsidR="00C774E6" w:rsidRPr="00CE340D" w:rsidRDefault="00C774E6" w:rsidP="007129E6">
      <w:pPr>
        <w:pStyle w:val="a3"/>
        <w:widowControl w:val="0"/>
        <w:shd w:val="clear" w:color="auto" w:fill="FFFFFF"/>
        <w:spacing w:before="0" w:beforeAutospacing="0" w:after="0" w:afterAutospacing="0" w:line="360" w:lineRule="auto"/>
        <w:ind w:firstLineChars="195" w:firstLine="624"/>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（二）属于文物文化资产的公共基础设施，适用其他相关政府会计准则。</w:t>
      </w:r>
    </w:p>
    <w:p w:rsidR="00C774E6" w:rsidRPr="00CE340D" w:rsidRDefault="00C774E6" w:rsidP="00873468">
      <w:pPr>
        <w:pStyle w:val="a3"/>
        <w:widowControl w:val="0"/>
        <w:shd w:val="clear" w:color="auto" w:fill="FFFFFF"/>
        <w:spacing w:before="0" w:beforeAutospacing="0" w:after="0" w:afterAutospacing="0" w:line="360" w:lineRule="auto"/>
        <w:jc w:val="center"/>
        <w:rPr>
          <w:rFonts w:ascii="仿宋_GB2312" w:eastAsia="仿宋_GB2312" w:cs="Tahoma"/>
          <w:color w:val="FF0000"/>
          <w:sz w:val="32"/>
          <w:szCs w:val="32"/>
          <w:shd w:val="clear" w:color="auto" w:fill="FFFFFF"/>
        </w:rPr>
      </w:pPr>
    </w:p>
    <w:p w:rsidR="00C774E6" w:rsidRPr="00CE340D" w:rsidRDefault="00C774E6" w:rsidP="00873468">
      <w:pPr>
        <w:pStyle w:val="a3"/>
        <w:widowControl w:val="0"/>
        <w:shd w:val="clear" w:color="auto" w:fill="FFFFFF"/>
        <w:spacing w:before="0" w:beforeAutospacing="0" w:after="0" w:afterAutospacing="0" w:line="360" w:lineRule="auto"/>
        <w:jc w:val="center"/>
        <w:rPr>
          <w:rFonts w:ascii="黑体" w:eastAsia="黑体" w:hAnsi="黑体" w:cs="Tahoma"/>
          <w:sz w:val="32"/>
          <w:szCs w:val="32"/>
          <w:shd w:val="clear" w:color="auto" w:fill="FFFFFF"/>
        </w:rPr>
      </w:pPr>
      <w:r w:rsidRPr="00CE340D">
        <w:rPr>
          <w:rFonts w:ascii="黑体" w:eastAsia="黑体" w:hAnsi="黑体" w:cs="黑体" w:hint="eastAsia"/>
          <w:sz w:val="32"/>
          <w:szCs w:val="32"/>
          <w:shd w:val="clear" w:color="auto" w:fill="FFFFFF"/>
        </w:rPr>
        <w:t>第二章</w:t>
      </w:r>
      <w:r w:rsidRPr="00CE340D">
        <w:rPr>
          <w:rFonts w:ascii="黑体" w:eastAsia="黑体" w:hAnsi="黑体" w:cs="黑体"/>
          <w:sz w:val="32"/>
          <w:szCs w:val="32"/>
          <w:shd w:val="clear" w:color="auto" w:fill="FFFFFF"/>
        </w:rPr>
        <w:t xml:space="preserve">  </w:t>
      </w:r>
      <w:r w:rsidRPr="00CE340D">
        <w:rPr>
          <w:rFonts w:ascii="黑体" w:eastAsia="黑体" w:hAnsi="黑体" w:cs="黑体" w:hint="eastAsia"/>
          <w:sz w:val="32"/>
          <w:szCs w:val="32"/>
          <w:shd w:val="clear" w:color="auto" w:fill="FFFFFF"/>
        </w:rPr>
        <w:t>公共基础设施的确认</w:t>
      </w:r>
    </w:p>
    <w:p w:rsidR="00C774E6" w:rsidRPr="00CE340D" w:rsidRDefault="00C774E6" w:rsidP="00BC4076">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第四条（</w:t>
      </w:r>
      <w:r w:rsidR="00802B00">
        <w:rPr>
          <w:rFonts w:ascii="仿宋_GB2312" w:eastAsia="仿宋_GB2312" w:cs="仿宋_GB2312" w:hint="eastAsia"/>
          <w:b/>
          <w:bCs/>
          <w:sz w:val="32"/>
          <w:szCs w:val="32"/>
          <w:shd w:val="clear" w:color="auto" w:fill="FFFFFF"/>
        </w:rPr>
        <w:t>确认</w:t>
      </w:r>
      <w:r w:rsidRPr="00CE340D">
        <w:rPr>
          <w:rFonts w:ascii="仿宋_GB2312" w:eastAsia="仿宋_GB2312" w:cs="仿宋_GB2312" w:hint="eastAsia"/>
          <w:b/>
          <w:bCs/>
          <w:sz w:val="32"/>
          <w:szCs w:val="32"/>
          <w:shd w:val="clear" w:color="auto" w:fill="FFFFFF"/>
        </w:rPr>
        <w:t>主体）</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政府会计主体应当确认按规定由其直接负责维护管理</w:t>
      </w:r>
      <w:r w:rsidR="007129E6">
        <w:rPr>
          <w:rFonts w:ascii="仿宋_GB2312" w:eastAsia="仿宋_GB2312" w:cs="仿宋_GB2312" w:hint="eastAsia"/>
          <w:sz w:val="32"/>
          <w:szCs w:val="32"/>
          <w:shd w:val="clear" w:color="auto" w:fill="FFFFFF"/>
        </w:rPr>
        <w:t>并符合本准则第五条</w:t>
      </w:r>
      <w:r w:rsidR="00006CB2">
        <w:rPr>
          <w:rFonts w:ascii="仿宋_GB2312" w:eastAsia="仿宋_GB2312" w:cs="仿宋_GB2312" w:hint="eastAsia"/>
          <w:sz w:val="32"/>
          <w:szCs w:val="32"/>
          <w:shd w:val="clear" w:color="auto" w:fill="FFFFFF"/>
        </w:rPr>
        <w:t>规定</w:t>
      </w:r>
      <w:r w:rsidRPr="00CE340D">
        <w:rPr>
          <w:rFonts w:ascii="仿宋_GB2312" w:eastAsia="仿宋_GB2312" w:cs="仿宋_GB2312" w:hint="eastAsia"/>
          <w:sz w:val="32"/>
          <w:szCs w:val="32"/>
          <w:shd w:val="clear" w:color="auto" w:fill="FFFFFF"/>
        </w:rPr>
        <w:t>的公共基础设施。</w:t>
      </w:r>
    </w:p>
    <w:p w:rsidR="00C774E6" w:rsidRPr="00CE340D" w:rsidRDefault="00C774E6" w:rsidP="00BC4076">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公共基础设施由多个政府会计主体共同管理的，应当由对该资产维护管理负有主要责任的政府会计主体进行确认。公共基础设施</w:t>
      </w:r>
      <w:r w:rsidR="00CD6005">
        <w:rPr>
          <w:rFonts w:ascii="仿宋_GB2312" w:eastAsia="仿宋_GB2312" w:cs="仿宋_GB2312" w:hint="eastAsia"/>
          <w:sz w:val="32"/>
          <w:szCs w:val="32"/>
          <w:shd w:val="clear" w:color="auto" w:fill="FFFFFF"/>
        </w:rPr>
        <w:t>分</w:t>
      </w:r>
      <w:r w:rsidR="009B7577">
        <w:rPr>
          <w:rFonts w:ascii="仿宋_GB2312" w:eastAsia="仿宋_GB2312" w:cs="仿宋_GB2312" w:hint="eastAsia"/>
          <w:sz w:val="32"/>
          <w:szCs w:val="32"/>
          <w:shd w:val="clear" w:color="auto" w:fill="FFFFFF"/>
        </w:rPr>
        <w:t>多个组成部分</w:t>
      </w:r>
      <w:r w:rsidRPr="00CE340D">
        <w:rPr>
          <w:rFonts w:ascii="仿宋_GB2312" w:eastAsia="仿宋_GB2312" w:cs="仿宋_GB2312" w:hint="eastAsia"/>
          <w:sz w:val="32"/>
          <w:szCs w:val="32"/>
          <w:shd w:val="clear" w:color="auto" w:fill="FFFFFF"/>
        </w:rPr>
        <w:t>由</w:t>
      </w:r>
      <w:r w:rsidR="009B7577">
        <w:rPr>
          <w:rFonts w:ascii="仿宋_GB2312" w:eastAsia="仿宋_GB2312" w:cs="仿宋_GB2312" w:hint="eastAsia"/>
          <w:sz w:val="32"/>
          <w:szCs w:val="32"/>
          <w:shd w:val="clear" w:color="auto" w:fill="FFFFFF"/>
        </w:rPr>
        <w:t>不同</w:t>
      </w:r>
      <w:r w:rsidRPr="00CE340D">
        <w:rPr>
          <w:rFonts w:ascii="仿宋_GB2312" w:eastAsia="仿宋_GB2312" w:cs="仿宋_GB2312" w:hint="eastAsia"/>
          <w:sz w:val="32"/>
          <w:szCs w:val="32"/>
          <w:shd w:val="clear" w:color="auto" w:fill="FFFFFF"/>
        </w:rPr>
        <w:t>政府会计主体分别管理的，应当由</w:t>
      </w:r>
      <w:r w:rsidR="00CD6005">
        <w:rPr>
          <w:rFonts w:ascii="仿宋_GB2312" w:eastAsia="仿宋_GB2312" w:cs="仿宋_GB2312" w:hint="eastAsia"/>
          <w:sz w:val="32"/>
          <w:szCs w:val="32"/>
          <w:shd w:val="clear" w:color="auto" w:fill="FFFFFF"/>
        </w:rPr>
        <w:t>各个政府会计主体分别对其</w:t>
      </w:r>
      <w:r w:rsidRPr="00CE340D">
        <w:rPr>
          <w:rFonts w:ascii="仿宋_GB2312" w:eastAsia="仿宋_GB2312" w:cs="仿宋_GB2312" w:hint="eastAsia"/>
          <w:sz w:val="32"/>
          <w:szCs w:val="32"/>
          <w:shd w:val="clear" w:color="auto" w:fill="FFFFFF"/>
        </w:rPr>
        <w:t>负有直接维护管理责任的公共基础设施的相应部分</w:t>
      </w:r>
      <w:r w:rsidR="00CD6005">
        <w:rPr>
          <w:rFonts w:ascii="仿宋_GB2312" w:eastAsia="仿宋_GB2312" w:cs="仿宋_GB2312" w:hint="eastAsia"/>
          <w:sz w:val="32"/>
          <w:szCs w:val="32"/>
          <w:shd w:val="clear" w:color="auto" w:fill="FFFFFF"/>
        </w:rPr>
        <w:t>进行确认</w:t>
      </w:r>
      <w:r w:rsidRPr="00CE340D">
        <w:rPr>
          <w:rFonts w:ascii="仿宋_GB2312" w:eastAsia="仿宋_GB2312" w:cs="仿宋_GB2312" w:hint="eastAsia"/>
          <w:sz w:val="32"/>
          <w:szCs w:val="32"/>
          <w:shd w:val="clear" w:color="auto" w:fill="FFFFFF"/>
        </w:rPr>
        <w:t>。</w:t>
      </w:r>
    </w:p>
    <w:p w:rsidR="00C774E6" w:rsidRPr="00CE340D" w:rsidRDefault="00C774E6" w:rsidP="00873468">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第五条（确认条件）</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公共基础设施同时满足下列条件的，应当予以确认：</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（一）与该公共基础设施有关的服务潜力很可能实现</w:t>
      </w:r>
      <w:r w:rsidRPr="00CE340D">
        <w:rPr>
          <w:rFonts w:ascii="仿宋_GB2312" w:eastAsia="仿宋_GB2312" w:cs="仿宋_GB2312" w:hint="eastAsia"/>
          <w:sz w:val="32"/>
          <w:szCs w:val="32"/>
          <w:shd w:val="clear" w:color="auto" w:fill="FFFFFF"/>
        </w:rPr>
        <w:lastRenderedPageBreak/>
        <w:t>或者经济利益很可能流入政府会计主体；</w:t>
      </w:r>
    </w:p>
    <w:p w:rsidR="00C774E6" w:rsidRPr="00CE340D" w:rsidRDefault="00C774E6" w:rsidP="00873468">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（二）该公共基础设施的成本或者价值能够可靠地计量。</w:t>
      </w:r>
    </w:p>
    <w:p w:rsidR="00C774E6" w:rsidRPr="00CE340D" w:rsidRDefault="00C774E6" w:rsidP="00873468">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第六条（确认时点）</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通常情况下，对于自建或外购的公共基础设施，政府会计主体应当在</w:t>
      </w:r>
      <w:r w:rsidR="00CD6005">
        <w:rPr>
          <w:rFonts w:ascii="仿宋_GB2312" w:eastAsia="仿宋_GB2312" w:cs="仿宋_GB2312" w:hint="eastAsia"/>
          <w:sz w:val="32"/>
          <w:szCs w:val="32"/>
          <w:shd w:val="clear" w:color="auto" w:fill="FFFFFF"/>
        </w:rPr>
        <w:t>该项公共基础设施</w:t>
      </w:r>
      <w:r w:rsidRPr="00CE340D">
        <w:rPr>
          <w:rFonts w:ascii="仿宋_GB2312" w:eastAsia="仿宋_GB2312" w:cs="仿宋_GB2312" w:hint="eastAsia"/>
          <w:sz w:val="32"/>
          <w:szCs w:val="32"/>
          <w:shd w:val="clear" w:color="auto" w:fill="FFFFFF"/>
        </w:rPr>
        <w:t>验收合格并交付使用时确认；对于无偿调入（划拨）的公共基础设施，政府会计主体应当在取得该项公共基础设施维护管理权限时确认。</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第七条（确认单元）</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政府会计主体应当根据公共基础设施提供公共产品或服务的性质或功能特征</w:t>
      </w:r>
      <w:r w:rsidR="00802B00">
        <w:rPr>
          <w:rFonts w:ascii="仿宋_GB2312" w:eastAsia="仿宋_GB2312" w:cs="仿宋_GB2312" w:hint="eastAsia"/>
          <w:sz w:val="32"/>
          <w:szCs w:val="32"/>
          <w:shd w:val="clear" w:color="auto" w:fill="FFFFFF"/>
        </w:rPr>
        <w:t>对其</w:t>
      </w:r>
      <w:r w:rsidRPr="00CE340D">
        <w:rPr>
          <w:rFonts w:ascii="仿宋_GB2312" w:eastAsia="仿宋_GB2312" w:cs="仿宋_GB2312" w:hint="eastAsia"/>
          <w:sz w:val="32"/>
          <w:szCs w:val="32"/>
          <w:shd w:val="clear" w:color="auto" w:fill="FFFFFF"/>
        </w:rPr>
        <w:t>进行分类确认。</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公共基础设施的各组成部分具有不同使用年限或者以不同方式提供公共产品或服务，适用不同折旧率或折旧方法且可以分别确定各自原价的，应当分别将各组成部分确认为单项公共基础设施。</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第八条（土地使用权确认）</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政府会计主体在构建公共基础设施时，应当将与公共基础设施相关的土地使用权</w:t>
      </w:r>
      <w:r w:rsidR="009B7577">
        <w:rPr>
          <w:rFonts w:ascii="仿宋_GB2312" w:eastAsia="仿宋_GB2312" w:cs="仿宋_GB2312" w:hint="eastAsia"/>
          <w:sz w:val="32"/>
          <w:szCs w:val="32"/>
          <w:shd w:val="clear" w:color="auto" w:fill="FFFFFF"/>
        </w:rPr>
        <w:t>成本</w:t>
      </w:r>
      <w:r w:rsidRPr="00CE340D">
        <w:rPr>
          <w:rFonts w:ascii="仿宋_GB2312" w:eastAsia="仿宋_GB2312" w:cs="仿宋_GB2312" w:hint="eastAsia"/>
          <w:sz w:val="32"/>
          <w:szCs w:val="32"/>
          <w:shd w:val="clear" w:color="auto" w:fill="FFFFFF"/>
        </w:rPr>
        <w:t>一并确认为公共基础设施。</w:t>
      </w:r>
    </w:p>
    <w:p w:rsidR="00C774E6" w:rsidRPr="00CE340D" w:rsidRDefault="00C774E6" w:rsidP="00873468">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第九条（后续支出确认）</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公共基础设施在使用过程中发生的后续支出，符合本准则第</w:t>
      </w:r>
      <w:r w:rsidR="00802B00">
        <w:rPr>
          <w:rFonts w:ascii="仿宋_GB2312" w:eastAsia="仿宋_GB2312" w:cs="仿宋_GB2312" w:hint="eastAsia"/>
          <w:sz w:val="32"/>
          <w:szCs w:val="32"/>
          <w:shd w:val="clear" w:color="auto" w:fill="FFFFFF"/>
        </w:rPr>
        <w:t>五</w:t>
      </w:r>
      <w:r w:rsidRPr="00CE340D">
        <w:rPr>
          <w:rFonts w:ascii="仿宋_GB2312" w:eastAsia="仿宋_GB2312" w:cs="仿宋_GB2312" w:hint="eastAsia"/>
          <w:sz w:val="32"/>
          <w:szCs w:val="32"/>
          <w:shd w:val="clear" w:color="auto" w:fill="FFFFFF"/>
        </w:rPr>
        <w:t>条规定的确认条件的，</w:t>
      </w:r>
      <w:r w:rsidRPr="00CE340D">
        <w:rPr>
          <w:rFonts w:ascii="仿宋_GB2312" w:eastAsia="仿宋_GB2312" w:cs="仿宋_GB2312" w:hint="eastAsia"/>
          <w:sz w:val="32"/>
          <w:szCs w:val="32"/>
          <w:shd w:val="clear" w:color="auto" w:fill="FFFFFF"/>
        </w:rPr>
        <w:lastRenderedPageBreak/>
        <w:t>应当计入公共基础设施成本；不符合本准则第</w:t>
      </w:r>
      <w:r w:rsidR="000A110E">
        <w:rPr>
          <w:rFonts w:ascii="仿宋_GB2312" w:eastAsia="仿宋_GB2312" w:cs="仿宋_GB2312" w:hint="eastAsia"/>
          <w:sz w:val="32"/>
          <w:szCs w:val="32"/>
          <w:shd w:val="clear" w:color="auto" w:fill="FFFFFF"/>
        </w:rPr>
        <w:t>五</w:t>
      </w:r>
      <w:r w:rsidRPr="00CE340D">
        <w:rPr>
          <w:rFonts w:ascii="仿宋_GB2312" w:eastAsia="仿宋_GB2312" w:cs="仿宋_GB2312" w:hint="eastAsia"/>
          <w:sz w:val="32"/>
          <w:szCs w:val="32"/>
          <w:shd w:val="clear" w:color="auto" w:fill="FFFFFF"/>
        </w:rPr>
        <w:t>条规定的确认条件的，应当在发生时计入当期费用。</w:t>
      </w:r>
    </w:p>
    <w:p w:rsidR="00C774E6" w:rsidRPr="00CE340D" w:rsidRDefault="00C774E6" w:rsidP="00873468">
      <w:pPr>
        <w:pStyle w:val="a3"/>
        <w:widowControl w:val="0"/>
        <w:shd w:val="clear" w:color="auto" w:fill="FFFFFF"/>
        <w:spacing w:before="0" w:beforeAutospacing="0" w:after="0" w:afterAutospacing="0" w:line="360" w:lineRule="auto"/>
        <w:ind w:firstLine="570"/>
        <w:rPr>
          <w:rFonts w:ascii="仿宋_GB2312" w:eastAsia="仿宋_GB2312" w:cs="Tahoma"/>
          <w:snapToGrid w:val="0"/>
          <w:sz w:val="32"/>
          <w:szCs w:val="32"/>
          <w:shd w:val="clear" w:color="auto" w:fill="FFFFFF"/>
        </w:rPr>
      </w:pPr>
      <w:r w:rsidRPr="00CE340D">
        <w:rPr>
          <w:rFonts w:ascii="仿宋_GB2312" w:eastAsia="仿宋_GB2312" w:cs="仿宋_GB2312" w:hint="eastAsia"/>
          <w:snapToGrid w:val="0"/>
          <w:sz w:val="32"/>
          <w:szCs w:val="32"/>
          <w:shd w:val="clear" w:color="auto" w:fill="FFFFFF"/>
        </w:rPr>
        <w:t>通常情况下，为增加公共基础设施使用效能或延长其使用年限而发生的改建、扩建、修缮等支出，应当计入公共基础设施成本；为维护公共基础设施的正常使用而发生的日常养护、修理等后续支出，应当计入当期费用。</w:t>
      </w:r>
    </w:p>
    <w:p w:rsidR="00C774E6" w:rsidRPr="00CE340D" w:rsidRDefault="00C774E6" w:rsidP="00873468">
      <w:pPr>
        <w:pStyle w:val="a3"/>
        <w:widowControl w:val="0"/>
        <w:shd w:val="clear" w:color="auto" w:fill="FFFFFF"/>
        <w:spacing w:before="0" w:beforeAutospacing="0" w:after="0" w:afterAutospacing="0" w:line="360" w:lineRule="auto"/>
        <w:ind w:firstLine="555"/>
        <w:jc w:val="both"/>
        <w:rPr>
          <w:rFonts w:ascii="仿宋_GB2312" w:eastAsia="仿宋_GB2312" w:cs="Tahoma"/>
          <w:sz w:val="32"/>
          <w:szCs w:val="32"/>
          <w:shd w:val="clear" w:color="auto" w:fill="FFFFFF"/>
        </w:rPr>
      </w:pPr>
    </w:p>
    <w:p w:rsidR="00C774E6" w:rsidRPr="00CE340D" w:rsidRDefault="00C774E6" w:rsidP="00873468">
      <w:pPr>
        <w:pStyle w:val="a3"/>
        <w:widowControl w:val="0"/>
        <w:shd w:val="clear" w:color="auto" w:fill="FFFFFF"/>
        <w:spacing w:before="0" w:beforeAutospacing="0" w:after="0" w:afterAutospacing="0" w:line="360" w:lineRule="auto"/>
        <w:jc w:val="center"/>
        <w:rPr>
          <w:rFonts w:ascii="黑体" w:eastAsia="黑体" w:hAnsi="黑体" w:cs="Tahoma"/>
          <w:sz w:val="32"/>
          <w:szCs w:val="32"/>
          <w:shd w:val="clear" w:color="auto" w:fill="FFFFFF"/>
        </w:rPr>
      </w:pPr>
      <w:r w:rsidRPr="00CE340D">
        <w:rPr>
          <w:rFonts w:ascii="黑体" w:eastAsia="黑体" w:hAnsi="黑体" w:cs="黑体" w:hint="eastAsia"/>
          <w:sz w:val="32"/>
          <w:szCs w:val="32"/>
          <w:shd w:val="clear" w:color="auto" w:fill="FFFFFF"/>
        </w:rPr>
        <w:t>第三章</w:t>
      </w:r>
      <w:r w:rsidRPr="00CE340D">
        <w:rPr>
          <w:rFonts w:ascii="黑体" w:eastAsia="黑体" w:hAnsi="黑体" w:cs="黑体"/>
          <w:sz w:val="32"/>
          <w:szCs w:val="32"/>
          <w:shd w:val="clear" w:color="auto" w:fill="FFFFFF"/>
        </w:rPr>
        <w:t xml:space="preserve">  </w:t>
      </w:r>
      <w:r w:rsidRPr="00CE340D">
        <w:rPr>
          <w:rFonts w:ascii="黑体" w:eastAsia="黑体" w:hAnsi="黑体" w:cs="黑体" w:hint="eastAsia"/>
          <w:sz w:val="32"/>
          <w:szCs w:val="32"/>
          <w:shd w:val="clear" w:color="auto" w:fill="FFFFFF"/>
        </w:rPr>
        <w:t>公共基础设施的初始计量</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第十条（</w:t>
      </w:r>
      <w:r>
        <w:rPr>
          <w:rFonts w:ascii="仿宋_GB2312" w:eastAsia="仿宋_GB2312" w:cs="仿宋_GB2312" w:hint="eastAsia"/>
          <w:b/>
          <w:bCs/>
          <w:sz w:val="32"/>
          <w:szCs w:val="32"/>
          <w:shd w:val="clear" w:color="auto" w:fill="FFFFFF"/>
        </w:rPr>
        <w:t>初始</w:t>
      </w:r>
      <w:r w:rsidRPr="00CE340D">
        <w:rPr>
          <w:rFonts w:ascii="仿宋_GB2312" w:eastAsia="仿宋_GB2312" w:cs="仿宋_GB2312" w:hint="eastAsia"/>
          <w:b/>
          <w:bCs/>
          <w:sz w:val="32"/>
          <w:szCs w:val="32"/>
          <w:shd w:val="clear" w:color="auto" w:fill="FFFFFF"/>
        </w:rPr>
        <w:t>计量基本原则）</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公共基础设施在取得时应当按照成本进行初始计量。</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第十一条（自行建造公共基础设施的计量）</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政府会计主体自行建造的公共基础设施，其成本包括该项公共基础设施至交付使用前所发生的全部必要支出，包括规划设计费</w:t>
      </w:r>
      <w:r w:rsidR="009B7577">
        <w:rPr>
          <w:rFonts w:ascii="仿宋_GB2312" w:eastAsia="仿宋_GB2312" w:cs="仿宋_GB2312" w:hint="eastAsia"/>
          <w:sz w:val="32"/>
          <w:szCs w:val="32"/>
          <w:shd w:val="clear" w:color="auto" w:fill="FFFFFF"/>
        </w:rPr>
        <w:t>用</w:t>
      </w:r>
      <w:r w:rsidRPr="00CE340D">
        <w:rPr>
          <w:rFonts w:ascii="仿宋_GB2312" w:eastAsia="仿宋_GB2312" w:cs="仿宋_GB2312" w:hint="eastAsia"/>
          <w:sz w:val="32"/>
          <w:szCs w:val="32"/>
          <w:shd w:val="clear" w:color="auto" w:fill="FFFFFF"/>
        </w:rPr>
        <w:t>、</w:t>
      </w:r>
      <w:r w:rsidR="009B7577">
        <w:rPr>
          <w:rFonts w:ascii="仿宋_GB2312" w:eastAsia="仿宋_GB2312" w:cs="仿宋_GB2312" w:hint="eastAsia"/>
          <w:sz w:val="32"/>
          <w:szCs w:val="32"/>
          <w:shd w:val="clear" w:color="auto" w:fill="FFFFFF"/>
        </w:rPr>
        <w:t>土地使用权成本、</w:t>
      </w:r>
      <w:r w:rsidRPr="00CE340D">
        <w:rPr>
          <w:rFonts w:ascii="仿宋_GB2312" w:eastAsia="仿宋_GB2312" w:cs="仿宋_GB2312" w:hint="eastAsia"/>
          <w:sz w:val="32"/>
          <w:szCs w:val="32"/>
          <w:shd w:val="clear" w:color="auto" w:fill="FFFFFF"/>
        </w:rPr>
        <w:t>施工建造成本、建造管理费用、以及使公共基础设施交付使用前发生的可归属于该项资产的检测鉴定费、试运行费和专业人员服务费等。</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在原有公共基础设施基础上进行改建、扩建、修缮后的公共基础设施，其成本按照原公共基础设施账面价值加上改建、扩建、修缮发生的支出，再扣除公共基础设施被</w:t>
      </w:r>
      <w:r w:rsidRPr="00CE340D">
        <w:rPr>
          <w:rFonts w:ascii="仿宋_GB2312" w:eastAsia="仿宋_GB2312" w:cs="仿宋_GB2312" w:hint="eastAsia"/>
          <w:sz w:val="32"/>
          <w:szCs w:val="32"/>
          <w:shd w:val="clear" w:color="auto" w:fill="FFFFFF"/>
        </w:rPr>
        <w:lastRenderedPageBreak/>
        <w:t>替换部分的账面价值后的金额确定。</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为建造公共基础设施借入的专门借款的利息，属于建设期间发生的，计入该公共基础设施在建工程的成本；不属于建设期间发生的，计入当期费用。</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已交付使用但尚未办理竣工决算手续的公共基础设施，应当按照估计价值入账，待办理竣工决算后再按照实际成本调整原来的暂估价值。</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第十二条（无偿调入公共基础设施的计量）</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政府会计主体接受其他会计主体无偿调入的公共基础设施，其成本按照该项公共基础设施在调出方的账面价值确定。</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政府会计主体采用政府和社会资本合作模式（即</w:t>
      </w:r>
      <w:r w:rsidRPr="00CE340D">
        <w:rPr>
          <w:rFonts w:ascii="仿宋_GB2312" w:eastAsia="仿宋_GB2312" w:cs="仿宋_GB2312"/>
          <w:sz w:val="32"/>
          <w:szCs w:val="32"/>
          <w:shd w:val="clear" w:color="auto" w:fill="FFFFFF"/>
        </w:rPr>
        <w:t>PPP</w:t>
      </w:r>
      <w:r w:rsidRPr="00CE340D">
        <w:rPr>
          <w:rFonts w:ascii="仿宋_GB2312" w:eastAsia="仿宋_GB2312" w:cs="仿宋_GB2312" w:hint="eastAsia"/>
          <w:sz w:val="32"/>
          <w:szCs w:val="32"/>
          <w:shd w:val="clear" w:color="auto" w:fill="FFFFFF"/>
        </w:rPr>
        <w:t>模式）形成的公共基础设施，其成本按照其他相关政府会计准则确定。</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第十三条（外购公共基础设施的计量）</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政府会计主体外购的公共基础设施，其成本包括购买价款、相关税费以及公共基础设施交付使用前所发生的可归属于该项资产的运输费、装卸费、安装费和专业人员服务费等。</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第十四条（公共基础设施组成部分的计量）</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对于包括不同</w:t>
      </w:r>
      <w:r w:rsidR="009B7577">
        <w:rPr>
          <w:rFonts w:ascii="仿宋_GB2312" w:eastAsia="仿宋_GB2312" w:cs="仿宋_GB2312" w:hint="eastAsia"/>
          <w:sz w:val="32"/>
          <w:szCs w:val="32"/>
          <w:shd w:val="clear" w:color="auto" w:fill="FFFFFF"/>
        </w:rPr>
        <w:t>组成部分</w:t>
      </w:r>
      <w:r w:rsidRPr="00CE340D">
        <w:rPr>
          <w:rFonts w:ascii="仿宋_GB2312" w:eastAsia="仿宋_GB2312" w:cs="仿宋_GB2312" w:hint="eastAsia"/>
          <w:sz w:val="32"/>
          <w:szCs w:val="32"/>
          <w:shd w:val="clear" w:color="auto" w:fill="FFFFFF"/>
        </w:rPr>
        <w:t>的公共基础设施，其只有总成本、没有单项</w:t>
      </w:r>
      <w:r w:rsidR="009B7577">
        <w:rPr>
          <w:rFonts w:ascii="仿宋_GB2312" w:eastAsia="仿宋_GB2312" w:cs="仿宋_GB2312" w:hint="eastAsia"/>
          <w:sz w:val="32"/>
          <w:szCs w:val="32"/>
          <w:shd w:val="clear" w:color="auto" w:fill="FFFFFF"/>
        </w:rPr>
        <w:lastRenderedPageBreak/>
        <w:t>组成部分</w:t>
      </w:r>
      <w:r w:rsidRPr="00CE340D">
        <w:rPr>
          <w:rFonts w:ascii="仿宋_GB2312" w:eastAsia="仿宋_GB2312" w:cs="仿宋_GB2312" w:hint="eastAsia"/>
          <w:sz w:val="32"/>
          <w:szCs w:val="32"/>
          <w:shd w:val="clear" w:color="auto" w:fill="FFFFFF"/>
        </w:rPr>
        <w:t>成本的，政府会计主体应当按照各</w:t>
      </w:r>
      <w:r w:rsidR="009B7577">
        <w:rPr>
          <w:rFonts w:ascii="仿宋_GB2312" w:eastAsia="仿宋_GB2312" w:cs="仿宋_GB2312" w:hint="eastAsia"/>
          <w:sz w:val="32"/>
          <w:szCs w:val="32"/>
          <w:shd w:val="clear" w:color="auto" w:fill="FFFFFF"/>
        </w:rPr>
        <w:t>单</w:t>
      </w:r>
      <w:r w:rsidRPr="00CE340D">
        <w:rPr>
          <w:rFonts w:ascii="仿宋_GB2312" w:eastAsia="仿宋_GB2312" w:cs="仿宋_GB2312" w:hint="eastAsia"/>
          <w:sz w:val="32"/>
          <w:szCs w:val="32"/>
          <w:shd w:val="clear" w:color="auto" w:fill="FFFFFF"/>
        </w:rPr>
        <w:t>项公共基础设施同类或类似资产的成本或市场价格比例对总成本进行分配，分别确定各</w:t>
      </w:r>
      <w:r w:rsidR="009B7577" w:rsidRPr="00CE340D">
        <w:rPr>
          <w:rFonts w:ascii="仿宋_GB2312" w:eastAsia="仿宋_GB2312" w:cs="仿宋_GB2312" w:hint="eastAsia"/>
          <w:sz w:val="32"/>
          <w:szCs w:val="32"/>
          <w:shd w:val="clear" w:color="auto" w:fill="FFFFFF"/>
        </w:rPr>
        <w:t>单项</w:t>
      </w:r>
      <w:r w:rsidRPr="00CE340D">
        <w:rPr>
          <w:rFonts w:ascii="仿宋_GB2312" w:eastAsia="仿宋_GB2312" w:cs="仿宋_GB2312" w:hint="eastAsia"/>
          <w:sz w:val="32"/>
          <w:szCs w:val="32"/>
          <w:shd w:val="clear" w:color="auto" w:fill="FFFFFF"/>
        </w:rPr>
        <w:t>公共基础设施的成本。</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p>
    <w:p w:rsidR="00C774E6" w:rsidRPr="00CE340D" w:rsidRDefault="00C774E6" w:rsidP="00873468">
      <w:pPr>
        <w:pStyle w:val="a3"/>
        <w:widowControl w:val="0"/>
        <w:shd w:val="clear" w:color="auto" w:fill="FFFFFF"/>
        <w:spacing w:before="0" w:beforeAutospacing="0" w:after="0" w:afterAutospacing="0" w:line="360" w:lineRule="auto"/>
        <w:jc w:val="center"/>
        <w:rPr>
          <w:rFonts w:ascii="黑体" w:eastAsia="黑体" w:hAnsi="黑体" w:cs="Tahoma"/>
          <w:sz w:val="32"/>
          <w:szCs w:val="32"/>
          <w:shd w:val="clear" w:color="auto" w:fill="FFFFFF"/>
        </w:rPr>
      </w:pPr>
      <w:r w:rsidRPr="00CE340D">
        <w:rPr>
          <w:rFonts w:ascii="黑体" w:eastAsia="黑体" w:hAnsi="黑体" w:cs="黑体" w:hint="eastAsia"/>
          <w:sz w:val="32"/>
          <w:szCs w:val="32"/>
          <w:shd w:val="clear" w:color="auto" w:fill="FFFFFF"/>
        </w:rPr>
        <w:t>第四章</w:t>
      </w:r>
      <w:r w:rsidRPr="00CE340D">
        <w:rPr>
          <w:rFonts w:ascii="黑体" w:eastAsia="黑体" w:hAnsi="黑体" w:cs="黑体"/>
          <w:sz w:val="32"/>
          <w:szCs w:val="32"/>
          <w:shd w:val="clear" w:color="auto" w:fill="FFFFFF"/>
        </w:rPr>
        <w:t xml:space="preserve">  </w:t>
      </w:r>
      <w:r w:rsidRPr="00CE340D">
        <w:rPr>
          <w:rFonts w:ascii="黑体" w:eastAsia="黑体" w:hAnsi="黑体" w:cs="黑体" w:hint="eastAsia"/>
          <w:sz w:val="32"/>
          <w:szCs w:val="32"/>
          <w:shd w:val="clear" w:color="auto" w:fill="FFFFFF"/>
        </w:rPr>
        <w:t>公共基础设施的后续计量</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center"/>
        <w:rPr>
          <w:rFonts w:ascii="仿宋_GB2312" w:eastAsia="仿宋_GB2312" w:cs="Tahoma"/>
          <w:b/>
          <w:bCs/>
          <w:sz w:val="32"/>
          <w:szCs w:val="32"/>
          <w:shd w:val="clear" w:color="auto" w:fill="FFFFFF"/>
        </w:rPr>
      </w:pPr>
      <w:r w:rsidRPr="00CE340D">
        <w:rPr>
          <w:rFonts w:ascii="仿宋_GB2312" w:eastAsia="仿宋_GB2312" w:cs="仿宋_GB2312" w:hint="eastAsia"/>
          <w:b/>
          <w:bCs/>
          <w:sz w:val="32"/>
          <w:szCs w:val="32"/>
          <w:shd w:val="clear" w:color="auto" w:fill="FFFFFF"/>
        </w:rPr>
        <w:t>第一节</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b/>
          <w:bCs/>
          <w:sz w:val="32"/>
          <w:szCs w:val="32"/>
          <w:shd w:val="clear" w:color="auto" w:fill="FFFFFF"/>
        </w:rPr>
        <w:t>公共基础设施的折旧</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第十五条（使用年限是否有限的判断）</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政府会计主体应当在初始确认公共基础设施时分析判断其使用年限。</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公共基础设施的使用年限为有限的，应当合理估计该使用年限。无法预见公共基础设施为政府会计主体提供服务潜力或带来经济利益期限的，应当视为使用年限不确定的公共基础设施。</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第十六条（折旧计提一般要求）</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政府会计主体应当对使用年限有限的公共基础设施计提折旧。</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公共基础设施应计提的折旧额为其成本，计提公共基础设施折旧时不考虑预计净残值。</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政府会计主体应当</w:t>
      </w:r>
      <w:proofErr w:type="gramStart"/>
      <w:r w:rsidRPr="00CE340D">
        <w:rPr>
          <w:rFonts w:ascii="仿宋_GB2312" w:eastAsia="仿宋_GB2312" w:cs="仿宋_GB2312" w:hint="eastAsia"/>
          <w:sz w:val="32"/>
          <w:szCs w:val="32"/>
          <w:shd w:val="clear" w:color="auto" w:fill="FFFFFF"/>
        </w:rPr>
        <w:t>对暂估入账</w:t>
      </w:r>
      <w:proofErr w:type="gramEnd"/>
      <w:r w:rsidR="00A122B3">
        <w:rPr>
          <w:rFonts w:ascii="仿宋_GB2312" w:eastAsia="仿宋_GB2312" w:cs="仿宋_GB2312" w:hint="eastAsia"/>
          <w:sz w:val="32"/>
          <w:szCs w:val="32"/>
          <w:shd w:val="clear" w:color="auto" w:fill="FFFFFF"/>
        </w:rPr>
        <w:t>且使用年限有限的</w:t>
      </w:r>
      <w:r w:rsidRPr="00CE340D">
        <w:rPr>
          <w:rFonts w:ascii="仿宋_GB2312" w:eastAsia="仿宋_GB2312" w:cs="仿宋_GB2312" w:hint="eastAsia"/>
          <w:sz w:val="32"/>
          <w:szCs w:val="32"/>
          <w:shd w:val="clear" w:color="auto" w:fill="FFFFFF"/>
        </w:rPr>
        <w:t>的公共基础设施计提折旧，实际成本确定后不需调整原已计提的折旧额。</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lastRenderedPageBreak/>
        <w:t>第十七条（折旧年限的确定）</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对于使用年限有限的公共基础设施，政府会计主体应当根据公共基础设施的性质和使用情况，合理确定公共基础设施的折旧年限。</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政府会计主体确定公共基础设施折旧年限，应当考虑下列因素：</w:t>
      </w:r>
    </w:p>
    <w:p w:rsidR="00C774E6" w:rsidRPr="00CE340D" w:rsidRDefault="00C774E6" w:rsidP="00873468">
      <w:pPr>
        <w:pStyle w:val="a3"/>
        <w:widowControl w:val="0"/>
        <w:shd w:val="clear" w:color="auto" w:fill="FFFFFF"/>
        <w:spacing w:before="0" w:beforeAutospacing="0" w:after="0" w:afterAutospacing="0" w:line="360" w:lineRule="auto"/>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 xml:space="preserve">　　（一）预计实现服务潜力或提供经济利益的期限；</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（二）设计使用年限或设计基准期；</w:t>
      </w:r>
    </w:p>
    <w:p w:rsidR="00C774E6" w:rsidRPr="00CE340D" w:rsidRDefault="00C774E6" w:rsidP="00873468">
      <w:pPr>
        <w:pStyle w:val="a3"/>
        <w:widowControl w:val="0"/>
        <w:shd w:val="clear" w:color="auto" w:fill="FFFFFF"/>
        <w:spacing w:before="0" w:beforeAutospacing="0" w:after="0" w:afterAutospacing="0" w:line="360" w:lineRule="auto"/>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 xml:space="preserve">　　（三）预计有形损耗和无形损耗；</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（四）法律或者类似规定对资产使用的限制。</w:t>
      </w:r>
    </w:p>
    <w:p w:rsidR="00C774E6" w:rsidRPr="00CE340D" w:rsidRDefault="00C774E6" w:rsidP="00873468">
      <w:pPr>
        <w:pStyle w:val="a3"/>
        <w:widowControl w:val="0"/>
        <w:shd w:val="clear" w:color="auto" w:fill="FFFFFF"/>
        <w:spacing w:before="0" w:beforeAutospacing="0" w:after="0" w:afterAutospacing="0" w:line="360" w:lineRule="auto"/>
        <w:ind w:firstLine="57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公共基础设施的折旧年限一经确定，不得随意变更。但是，符合本准则第二十一条规定的除外。</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第十八条（折旧方法）</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政府会计主体一般应当采用年限平均法或者工作量法计提公共基础设施折旧。</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在确定公共基础设施的折旧方法时，应当考虑与公共基础设施相关的服务潜力或经济利益的预期实现方式。</w:t>
      </w:r>
    </w:p>
    <w:p w:rsidR="00C774E6" w:rsidRPr="00CE340D" w:rsidRDefault="00C774E6" w:rsidP="00955966">
      <w:pPr>
        <w:pStyle w:val="a3"/>
        <w:widowControl w:val="0"/>
        <w:shd w:val="clear" w:color="auto" w:fill="FFFFFF"/>
        <w:spacing w:before="0" w:beforeAutospacing="0" w:after="0" w:afterAutospacing="0" w:line="360" w:lineRule="auto"/>
        <w:jc w:val="both"/>
        <w:rPr>
          <w:rFonts w:ascii="仿宋_GB2312" w:eastAsia="仿宋_GB2312" w:cs="Tahoma"/>
          <w:sz w:val="32"/>
          <w:szCs w:val="32"/>
          <w:shd w:val="clear" w:color="auto" w:fill="FFFFFF"/>
        </w:rPr>
      </w:pP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公共基础设施折旧方法一经确定，不得随意变更。</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第十九条（</w:t>
      </w:r>
      <w:r w:rsidR="00F92D24">
        <w:rPr>
          <w:rFonts w:ascii="仿宋_GB2312" w:eastAsia="仿宋_GB2312" w:cs="仿宋_GB2312" w:hint="eastAsia"/>
          <w:b/>
          <w:bCs/>
          <w:sz w:val="32"/>
          <w:szCs w:val="32"/>
          <w:shd w:val="clear" w:color="auto" w:fill="FFFFFF"/>
        </w:rPr>
        <w:t>计提频率及</w:t>
      </w:r>
      <w:r w:rsidRPr="00CE340D">
        <w:rPr>
          <w:rFonts w:ascii="仿宋_GB2312" w:eastAsia="仿宋_GB2312" w:cs="仿宋_GB2312" w:hint="eastAsia"/>
          <w:b/>
          <w:bCs/>
          <w:sz w:val="32"/>
          <w:szCs w:val="32"/>
          <w:shd w:val="clear" w:color="auto" w:fill="FFFFFF"/>
        </w:rPr>
        <w:t>会计处理）</w:t>
      </w:r>
      <w:r w:rsidRPr="00CE340D">
        <w:rPr>
          <w:rFonts w:ascii="仿宋_GB2312" w:eastAsia="仿宋_GB2312" w:cs="仿宋_GB2312"/>
          <w:sz w:val="32"/>
          <w:szCs w:val="32"/>
          <w:shd w:val="clear" w:color="auto" w:fill="FFFFFF"/>
        </w:rPr>
        <w:t xml:space="preserve"> </w:t>
      </w:r>
      <w:r w:rsidRPr="00CE340D">
        <w:rPr>
          <w:rFonts w:ascii="仿宋_GB2312" w:eastAsia="仿宋_GB2312" w:cs="仿宋_GB2312" w:hint="eastAsia"/>
          <w:sz w:val="32"/>
          <w:szCs w:val="32"/>
          <w:shd w:val="clear" w:color="auto" w:fill="FFFFFF"/>
        </w:rPr>
        <w:t>公共基础设施应当按月计提折旧，并根据用途计入当期费用。</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z w:val="32"/>
          <w:szCs w:val="32"/>
          <w:shd w:val="clear" w:color="auto" w:fill="FFFFFF"/>
        </w:rPr>
      </w:pPr>
      <w:r w:rsidRPr="00CE340D">
        <w:rPr>
          <w:rFonts w:ascii="仿宋_GB2312" w:eastAsia="仿宋_GB2312" w:hAnsi="宋体" w:cs="仿宋_GB2312" w:hint="eastAsia"/>
          <w:b/>
          <w:bCs/>
          <w:sz w:val="32"/>
          <w:szCs w:val="32"/>
          <w:shd w:val="clear" w:color="auto" w:fill="FFFFFF"/>
        </w:rPr>
        <w:t>第二十条（提足折旧和提前报废资产的</w:t>
      </w:r>
      <w:r w:rsidR="000A110E">
        <w:rPr>
          <w:rFonts w:ascii="仿宋_GB2312" w:eastAsia="仿宋_GB2312" w:hAnsi="宋体" w:cs="仿宋_GB2312" w:hint="eastAsia"/>
          <w:b/>
          <w:bCs/>
          <w:sz w:val="32"/>
          <w:szCs w:val="32"/>
          <w:shd w:val="clear" w:color="auto" w:fill="FFFFFF"/>
        </w:rPr>
        <w:t>规定</w:t>
      </w:r>
      <w:r w:rsidRPr="00CE340D">
        <w:rPr>
          <w:rFonts w:ascii="仿宋_GB2312" w:eastAsia="仿宋_GB2312" w:hAnsi="宋体" w:cs="仿宋_GB2312" w:hint="eastAsia"/>
          <w:b/>
          <w:bCs/>
          <w:sz w:val="32"/>
          <w:szCs w:val="32"/>
          <w:shd w:val="clear" w:color="auto" w:fill="FFFFFF"/>
        </w:rPr>
        <w:t>）</w:t>
      </w:r>
      <w:r w:rsidRPr="00CE340D">
        <w:rPr>
          <w:rFonts w:ascii="仿宋_GB2312" w:eastAsia="仿宋_GB2312" w:hAnsi="宋体" w:cs="仿宋_GB2312"/>
          <w:b/>
          <w:bCs/>
          <w:sz w:val="32"/>
          <w:szCs w:val="32"/>
          <w:shd w:val="clear" w:color="auto" w:fill="FFFFFF"/>
        </w:rPr>
        <w:t xml:space="preserve"> </w:t>
      </w:r>
      <w:r w:rsidRPr="00CE340D">
        <w:rPr>
          <w:rFonts w:ascii="仿宋_GB2312" w:eastAsia="仿宋_GB2312" w:hAnsi="宋体" w:cs="仿宋_GB2312" w:hint="eastAsia"/>
          <w:sz w:val="32"/>
          <w:szCs w:val="32"/>
          <w:shd w:val="clear" w:color="auto" w:fill="FFFFFF"/>
        </w:rPr>
        <w:t>公共基</w:t>
      </w:r>
      <w:r w:rsidRPr="00CE340D">
        <w:rPr>
          <w:rFonts w:ascii="仿宋_GB2312" w:eastAsia="仿宋_GB2312" w:hAnsi="宋体" w:cs="仿宋_GB2312" w:hint="eastAsia"/>
          <w:sz w:val="32"/>
          <w:szCs w:val="32"/>
          <w:shd w:val="clear" w:color="auto" w:fill="FFFFFF"/>
        </w:rPr>
        <w:lastRenderedPageBreak/>
        <w:t>础设施提足折旧后，无论能否继续使用，均不再计提折旧；提前报废的公共基础设施，也不再补提折旧。已提足折旧的公共基础设施，可以继续使用的，应当继续使用，</w:t>
      </w:r>
      <w:r w:rsidR="00A122B3">
        <w:rPr>
          <w:rFonts w:ascii="仿宋_GB2312" w:eastAsia="仿宋_GB2312" w:hAnsi="宋体" w:cs="仿宋_GB2312" w:hint="eastAsia"/>
          <w:sz w:val="32"/>
          <w:szCs w:val="32"/>
          <w:shd w:val="clear" w:color="auto" w:fill="FFFFFF"/>
        </w:rPr>
        <w:t>并</w:t>
      </w:r>
      <w:r w:rsidRPr="00CE340D">
        <w:rPr>
          <w:rFonts w:ascii="仿宋_GB2312" w:eastAsia="仿宋_GB2312" w:hAnsi="宋体" w:cs="仿宋_GB2312" w:hint="eastAsia"/>
          <w:sz w:val="32"/>
          <w:szCs w:val="32"/>
          <w:shd w:val="clear" w:color="auto" w:fill="FFFFFF"/>
        </w:rPr>
        <w:t>规范实物管理。</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napToGrid w:val="0"/>
          <w:sz w:val="32"/>
          <w:szCs w:val="32"/>
          <w:shd w:val="clear" w:color="auto" w:fill="FFFFFF"/>
        </w:rPr>
      </w:pPr>
      <w:r w:rsidRPr="00CE340D">
        <w:rPr>
          <w:rFonts w:ascii="仿宋_GB2312" w:eastAsia="仿宋_GB2312" w:hAnsi="宋体" w:cs="仿宋_GB2312" w:hint="eastAsia"/>
          <w:b/>
          <w:bCs/>
          <w:sz w:val="32"/>
          <w:szCs w:val="32"/>
          <w:shd w:val="clear" w:color="auto" w:fill="FFFFFF"/>
        </w:rPr>
        <w:t>第二十一条（折旧年限的调整）</w:t>
      </w:r>
      <w:r w:rsidRPr="00CE340D">
        <w:rPr>
          <w:rFonts w:ascii="仿宋_GB2312" w:eastAsia="仿宋_GB2312" w:hAnsi="宋体" w:cs="仿宋_GB2312"/>
          <w:sz w:val="32"/>
          <w:szCs w:val="32"/>
          <w:shd w:val="clear" w:color="auto" w:fill="FFFFFF"/>
        </w:rPr>
        <w:t xml:space="preserve"> </w:t>
      </w:r>
      <w:r w:rsidRPr="00CE340D">
        <w:rPr>
          <w:rFonts w:ascii="仿宋_GB2312" w:eastAsia="仿宋_GB2312" w:hAnsi="宋体" w:cs="仿宋_GB2312" w:hint="eastAsia"/>
          <w:snapToGrid w:val="0"/>
          <w:sz w:val="32"/>
          <w:szCs w:val="32"/>
          <w:shd w:val="clear" w:color="auto" w:fill="FFFFFF"/>
        </w:rPr>
        <w:t>公共基础设施因改建、扩建</w:t>
      </w:r>
      <w:r w:rsidR="00BB1A3E">
        <w:rPr>
          <w:rFonts w:ascii="仿宋_GB2312" w:eastAsia="仿宋_GB2312" w:hAnsi="宋体" w:cs="仿宋_GB2312" w:hint="eastAsia"/>
          <w:snapToGrid w:val="0"/>
          <w:sz w:val="32"/>
          <w:szCs w:val="32"/>
          <w:shd w:val="clear" w:color="auto" w:fill="FFFFFF"/>
        </w:rPr>
        <w:t>、修缮</w:t>
      </w:r>
      <w:r w:rsidRPr="00CE340D">
        <w:rPr>
          <w:rFonts w:ascii="仿宋_GB2312" w:eastAsia="仿宋_GB2312" w:hAnsi="宋体" w:cs="仿宋_GB2312" w:hint="eastAsia"/>
          <w:snapToGrid w:val="0"/>
          <w:sz w:val="32"/>
          <w:szCs w:val="32"/>
          <w:shd w:val="clear" w:color="auto" w:fill="FFFFFF"/>
        </w:rPr>
        <w:t>等原因而延长其使用寿命的，应当按照重新确定的公共基础设施的成本以及重新确定的折旧年限计算折旧额。</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napToGrid w:val="0"/>
          <w:sz w:val="32"/>
          <w:szCs w:val="32"/>
          <w:shd w:val="clear" w:color="auto" w:fill="FFFFFF"/>
        </w:rPr>
      </w:pPr>
      <w:r w:rsidRPr="00CE340D">
        <w:rPr>
          <w:rFonts w:ascii="仿宋_GB2312" w:eastAsia="仿宋_GB2312" w:hAnsi="宋体" w:cs="仿宋_GB2312" w:hint="eastAsia"/>
          <w:b/>
          <w:bCs/>
          <w:snapToGrid w:val="0"/>
          <w:sz w:val="32"/>
          <w:szCs w:val="32"/>
          <w:shd w:val="clear" w:color="auto" w:fill="FFFFFF"/>
        </w:rPr>
        <w:t>第二十二条（使用年限不确定资产的折旧要求）</w:t>
      </w:r>
      <w:r w:rsidRPr="00CE340D">
        <w:rPr>
          <w:rFonts w:ascii="仿宋_GB2312" w:eastAsia="仿宋_GB2312" w:hAnsi="宋体" w:cs="仿宋_GB2312"/>
          <w:b/>
          <w:bCs/>
          <w:snapToGrid w:val="0"/>
          <w:sz w:val="32"/>
          <w:szCs w:val="32"/>
          <w:shd w:val="clear" w:color="auto" w:fill="FFFFFF"/>
        </w:rPr>
        <w:t xml:space="preserve"> </w:t>
      </w:r>
      <w:r w:rsidRPr="00CE340D">
        <w:rPr>
          <w:rFonts w:ascii="仿宋_GB2312" w:eastAsia="仿宋_GB2312" w:hAnsi="宋体" w:cs="仿宋_GB2312" w:hint="eastAsia"/>
          <w:snapToGrid w:val="0"/>
          <w:sz w:val="32"/>
          <w:szCs w:val="32"/>
          <w:shd w:val="clear" w:color="auto" w:fill="FFFFFF"/>
        </w:rPr>
        <w:t>政府会计主体对于使用年限不确定的公共基础设施不提折旧。</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p>
    <w:p w:rsidR="00F03114" w:rsidRDefault="0061796B" w:rsidP="00A122B3">
      <w:pPr>
        <w:widowControl w:val="0"/>
        <w:shd w:val="clear" w:color="auto" w:fill="FFFFFF"/>
        <w:snapToGrid/>
        <w:spacing w:after="0" w:line="360" w:lineRule="auto"/>
        <w:ind w:firstLineChars="200" w:firstLine="643"/>
        <w:jc w:val="center"/>
        <w:rPr>
          <w:rFonts w:ascii="仿宋" w:eastAsia="仿宋" w:hAnsi="仿宋"/>
          <w:b/>
          <w:sz w:val="32"/>
          <w:szCs w:val="32"/>
          <w:shd w:val="clear" w:color="auto" w:fill="FFFFFF"/>
        </w:rPr>
      </w:pPr>
      <w:r w:rsidRPr="0061796B">
        <w:rPr>
          <w:rFonts w:ascii="仿宋" w:eastAsia="仿宋" w:hAnsi="仿宋" w:cs="黑体" w:hint="eastAsia"/>
          <w:b/>
          <w:sz w:val="32"/>
          <w:szCs w:val="32"/>
          <w:shd w:val="clear" w:color="auto" w:fill="FFFFFF"/>
        </w:rPr>
        <w:t>第二节</w:t>
      </w:r>
      <w:r w:rsidRPr="0061796B">
        <w:rPr>
          <w:rFonts w:ascii="仿宋" w:eastAsia="仿宋" w:hAnsi="仿宋" w:cs="黑体"/>
          <w:b/>
          <w:sz w:val="32"/>
          <w:szCs w:val="32"/>
          <w:shd w:val="clear" w:color="auto" w:fill="FFFFFF"/>
        </w:rPr>
        <w:t xml:space="preserve">  </w:t>
      </w:r>
      <w:r w:rsidRPr="0061796B">
        <w:rPr>
          <w:rFonts w:ascii="仿宋" w:eastAsia="仿宋" w:hAnsi="仿宋" w:cs="黑体" w:hint="eastAsia"/>
          <w:b/>
          <w:sz w:val="32"/>
          <w:szCs w:val="32"/>
          <w:shd w:val="clear" w:color="auto" w:fill="FFFFFF"/>
        </w:rPr>
        <w:t>公共基础设施的处置</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z w:val="32"/>
          <w:szCs w:val="32"/>
          <w:shd w:val="clear" w:color="auto" w:fill="FFFFFF"/>
        </w:rPr>
      </w:pPr>
      <w:r w:rsidRPr="00CE340D">
        <w:rPr>
          <w:rFonts w:ascii="仿宋_GB2312" w:eastAsia="仿宋_GB2312" w:hAnsi="宋体" w:cs="仿宋_GB2312" w:hint="eastAsia"/>
          <w:b/>
          <w:bCs/>
          <w:sz w:val="32"/>
          <w:szCs w:val="32"/>
          <w:shd w:val="clear" w:color="auto" w:fill="FFFFFF"/>
        </w:rPr>
        <w:t>第二十三条（公共基础设施的无偿调出）</w:t>
      </w:r>
      <w:r w:rsidRPr="00CE340D">
        <w:rPr>
          <w:rFonts w:ascii="仿宋_GB2312" w:eastAsia="仿宋_GB2312" w:hAnsi="宋体" w:cs="仿宋_GB2312"/>
          <w:b/>
          <w:bCs/>
          <w:sz w:val="32"/>
          <w:szCs w:val="32"/>
          <w:shd w:val="clear" w:color="auto" w:fill="FFFFFF"/>
        </w:rPr>
        <w:t xml:space="preserve"> </w:t>
      </w:r>
      <w:r w:rsidRPr="00CE340D">
        <w:rPr>
          <w:rFonts w:ascii="仿宋_GB2312" w:eastAsia="仿宋_GB2312" w:hAnsi="宋体" w:cs="仿宋_GB2312" w:hint="eastAsia"/>
          <w:sz w:val="32"/>
          <w:szCs w:val="32"/>
          <w:shd w:val="clear" w:color="auto" w:fill="FFFFFF"/>
        </w:rPr>
        <w:t>政府会计主体按规定报经批准无偿调出公共基础设施的，应当将公共基础设施的账面价值予以转销，无偿调出中发生的归属于调出方的相关费用应当计入当期费用。</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z w:val="32"/>
          <w:szCs w:val="32"/>
          <w:shd w:val="clear" w:color="auto" w:fill="FFFFFF"/>
        </w:rPr>
      </w:pPr>
      <w:r w:rsidRPr="00CE340D">
        <w:rPr>
          <w:rFonts w:ascii="仿宋_GB2312" w:eastAsia="仿宋_GB2312" w:hAnsi="宋体" w:cs="仿宋_GB2312" w:hint="eastAsia"/>
          <w:b/>
          <w:bCs/>
          <w:sz w:val="32"/>
          <w:szCs w:val="32"/>
          <w:shd w:val="clear" w:color="auto" w:fill="FFFFFF"/>
        </w:rPr>
        <w:t>第二十四条（公共基础设施报废和毁损）</w:t>
      </w:r>
      <w:r w:rsidRPr="00CE340D">
        <w:rPr>
          <w:rFonts w:ascii="仿宋_GB2312" w:eastAsia="仿宋_GB2312" w:hAnsi="宋体" w:cs="仿宋_GB2312"/>
          <w:sz w:val="32"/>
          <w:szCs w:val="32"/>
          <w:shd w:val="clear" w:color="auto" w:fill="FFFFFF"/>
        </w:rPr>
        <w:t xml:space="preserve">  </w:t>
      </w:r>
      <w:r w:rsidRPr="00CE340D">
        <w:rPr>
          <w:rFonts w:ascii="仿宋_GB2312" w:eastAsia="仿宋_GB2312" w:hAnsi="宋体" w:cs="仿宋_GB2312" w:hint="eastAsia"/>
          <w:sz w:val="32"/>
          <w:szCs w:val="32"/>
          <w:shd w:val="clear" w:color="auto" w:fill="FFFFFF"/>
        </w:rPr>
        <w:t>政府会计主体按规定报经批准报废公共基础设施或公共基础设施遭受重大毁损的，应当将公共基础设施账面价值予以转销，</w:t>
      </w:r>
      <w:r w:rsidRPr="00CE340D">
        <w:rPr>
          <w:rFonts w:ascii="仿宋_GB2312" w:eastAsia="仿宋_GB2312" w:hAnsi="宋体" w:cs="仿宋_GB2312" w:hint="eastAsia"/>
          <w:sz w:val="32"/>
          <w:szCs w:val="32"/>
          <w:shd w:val="clear" w:color="auto" w:fill="FFFFFF"/>
        </w:rPr>
        <w:lastRenderedPageBreak/>
        <w:t>并将报废、毁损过程中取得的残值变价收入扣除相关费用后的差额按规定做应缴款项处理（差额为净收益时）或计入当期费用（差额为净损失时）。</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z w:val="32"/>
          <w:szCs w:val="32"/>
          <w:shd w:val="clear" w:color="auto" w:fill="FFFFFF"/>
        </w:rPr>
      </w:pPr>
      <w:r w:rsidRPr="00CE340D">
        <w:rPr>
          <w:rFonts w:ascii="仿宋_GB2312" w:eastAsia="仿宋_GB2312" w:hAnsi="宋体" w:cs="仿宋_GB2312" w:hint="eastAsia"/>
          <w:b/>
          <w:bCs/>
          <w:sz w:val="32"/>
          <w:szCs w:val="32"/>
          <w:shd w:val="clear" w:color="auto" w:fill="FFFFFF"/>
        </w:rPr>
        <w:t>第二十五条（公共基础设施丧失功能）</w:t>
      </w:r>
      <w:r w:rsidRPr="00CE340D">
        <w:rPr>
          <w:rFonts w:ascii="仿宋_GB2312" w:eastAsia="仿宋_GB2312" w:hAnsi="宋体" w:cs="仿宋_GB2312"/>
          <w:b/>
          <w:bCs/>
          <w:sz w:val="32"/>
          <w:szCs w:val="32"/>
          <w:shd w:val="clear" w:color="auto" w:fill="FFFFFF"/>
        </w:rPr>
        <w:t xml:space="preserve"> </w:t>
      </w:r>
      <w:r w:rsidR="00BB1A3E">
        <w:rPr>
          <w:rFonts w:ascii="仿宋_GB2312" w:eastAsia="仿宋_GB2312" w:hAnsi="宋体" w:cs="仿宋_GB2312" w:hint="eastAsia"/>
          <w:sz w:val="32"/>
          <w:szCs w:val="32"/>
          <w:shd w:val="clear" w:color="auto" w:fill="FFFFFF"/>
        </w:rPr>
        <w:t>公共基础设施</w:t>
      </w:r>
      <w:r w:rsidRPr="00CE340D">
        <w:rPr>
          <w:rFonts w:ascii="仿宋_GB2312" w:eastAsia="仿宋_GB2312" w:hAnsi="宋体" w:cs="仿宋_GB2312" w:hint="eastAsia"/>
          <w:sz w:val="32"/>
          <w:szCs w:val="32"/>
          <w:shd w:val="clear" w:color="auto" w:fill="FFFFFF"/>
        </w:rPr>
        <w:t>预期不能为政府会计主体带来服务潜力或者经济利益的，应当在报经批准后将该</w:t>
      </w:r>
      <w:r w:rsidR="00BB1A3E">
        <w:rPr>
          <w:rFonts w:ascii="仿宋_GB2312" w:eastAsia="仿宋_GB2312" w:hAnsi="宋体" w:cs="仿宋_GB2312" w:hint="eastAsia"/>
          <w:sz w:val="32"/>
          <w:szCs w:val="32"/>
          <w:shd w:val="clear" w:color="auto" w:fill="FFFFFF"/>
        </w:rPr>
        <w:t>项资产</w:t>
      </w:r>
      <w:r w:rsidRPr="00CE340D">
        <w:rPr>
          <w:rFonts w:ascii="仿宋_GB2312" w:eastAsia="仿宋_GB2312" w:hAnsi="宋体" w:cs="仿宋_GB2312" w:hint="eastAsia"/>
          <w:sz w:val="32"/>
          <w:szCs w:val="32"/>
          <w:shd w:val="clear" w:color="auto" w:fill="FFFFFF"/>
        </w:rPr>
        <w:t>的账面价值予以转销。</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p>
    <w:p w:rsidR="00C774E6" w:rsidRPr="00CE340D" w:rsidRDefault="00C774E6" w:rsidP="00873468">
      <w:pPr>
        <w:pStyle w:val="a3"/>
        <w:widowControl w:val="0"/>
        <w:shd w:val="clear" w:color="auto" w:fill="FFFFFF"/>
        <w:spacing w:before="0" w:beforeAutospacing="0" w:after="0" w:afterAutospacing="0" w:line="360" w:lineRule="auto"/>
        <w:jc w:val="center"/>
        <w:rPr>
          <w:rFonts w:ascii="黑体" w:eastAsia="黑体" w:hAnsi="黑体" w:cs="Tahoma"/>
          <w:sz w:val="32"/>
          <w:szCs w:val="32"/>
          <w:shd w:val="clear" w:color="auto" w:fill="FFFFFF"/>
        </w:rPr>
      </w:pPr>
      <w:r w:rsidRPr="00CE340D">
        <w:rPr>
          <w:rFonts w:ascii="黑体" w:eastAsia="黑体" w:hAnsi="黑体" w:cs="黑体" w:hint="eastAsia"/>
          <w:sz w:val="32"/>
          <w:szCs w:val="32"/>
          <w:shd w:val="clear" w:color="auto" w:fill="FFFFFF"/>
        </w:rPr>
        <w:t>第五章</w:t>
      </w:r>
      <w:r w:rsidRPr="00CE340D">
        <w:rPr>
          <w:rFonts w:ascii="黑体" w:eastAsia="黑体" w:hAnsi="黑体" w:cs="黑体"/>
          <w:sz w:val="32"/>
          <w:szCs w:val="32"/>
          <w:shd w:val="clear" w:color="auto" w:fill="FFFFFF"/>
        </w:rPr>
        <w:t xml:space="preserve">  </w:t>
      </w:r>
      <w:r w:rsidRPr="00CE340D">
        <w:rPr>
          <w:rFonts w:ascii="黑体" w:eastAsia="黑体" w:hAnsi="黑体" w:cs="黑体" w:hint="eastAsia"/>
          <w:sz w:val="32"/>
          <w:szCs w:val="32"/>
          <w:shd w:val="clear" w:color="auto" w:fill="FFFFFF"/>
        </w:rPr>
        <w:t>披露</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sz w:val="32"/>
          <w:szCs w:val="32"/>
          <w:shd w:val="clear" w:color="auto" w:fill="FFFFFF"/>
        </w:rPr>
      </w:pPr>
      <w:r w:rsidRPr="00CE340D">
        <w:rPr>
          <w:rFonts w:ascii="仿宋_GB2312" w:eastAsia="仿宋_GB2312" w:hAnsi="宋体" w:cs="仿宋_GB2312" w:hint="eastAsia"/>
          <w:b/>
          <w:bCs/>
          <w:sz w:val="32"/>
          <w:szCs w:val="32"/>
          <w:shd w:val="clear" w:color="auto" w:fill="FFFFFF"/>
        </w:rPr>
        <w:t>第二十六条（公共基础设施资产的披露要求）</w:t>
      </w:r>
      <w:r w:rsidRPr="00CE340D">
        <w:rPr>
          <w:rFonts w:ascii="仿宋_GB2312" w:eastAsia="仿宋_GB2312" w:hAnsi="宋体" w:cs="仿宋_GB2312"/>
          <w:b/>
          <w:bCs/>
          <w:sz w:val="32"/>
          <w:szCs w:val="32"/>
          <w:shd w:val="clear" w:color="auto" w:fill="FFFFFF"/>
        </w:rPr>
        <w:t xml:space="preserve"> </w:t>
      </w:r>
      <w:r w:rsidRPr="00CE340D">
        <w:rPr>
          <w:rFonts w:ascii="仿宋_GB2312" w:eastAsia="仿宋_GB2312" w:hAnsi="宋体" w:cs="仿宋_GB2312" w:hint="eastAsia"/>
          <w:sz w:val="32"/>
          <w:szCs w:val="32"/>
          <w:shd w:val="clear" w:color="auto" w:fill="FFFFFF"/>
        </w:rPr>
        <w:t>政府会计主体应当在</w:t>
      </w:r>
      <w:r w:rsidR="00BB1A3E">
        <w:rPr>
          <w:rFonts w:ascii="仿宋_GB2312" w:eastAsia="仿宋_GB2312" w:hAnsi="宋体" w:cs="仿宋_GB2312" w:hint="eastAsia"/>
          <w:sz w:val="32"/>
          <w:szCs w:val="32"/>
          <w:shd w:val="clear" w:color="auto" w:fill="FFFFFF"/>
        </w:rPr>
        <w:t>财务</w:t>
      </w:r>
      <w:r w:rsidRPr="00CE340D">
        <w:rPr>
          <w:rFonts w:ascii="仿宋_GB2312" w:eastAsia="仿宋_GB2312" w:hAnsi="宋体" w:cs="仿宋_GB2312" w:hint="eastAsia"/>
          <w:sz w:val="32"/>
          <w:szCs w:val="32"/>
          <w:shd w:val="clear" w:color="auto" w:fill="FFFFFF"/>
        </w:rPr>
        <w:t>报表附注中披露与公共基础设施有关的下列信息：</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（一）公共基础设施的分类、计量属性和折旧方法。</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（二）使用年限有限的公共基础设施的折旧年限及其确定依据；使用年限不确定的公共基础设施，其使用年限不确定的确定依据。</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（三）各类公共基础设施账面余额、累计折旧额、账面价值的期初、期末</w:t>
      </w:r>
      <w:proofErr w:type="gramStart"/>
      <w:r w:rsidRPr="00CE340D">
        <w:rPr>
          <w:rFonts w:ascii="仿宋_GB2312" w:eastAsia="仿宋_GB2312" w:hAnsi="宋体" w:cs="仿宋_GB2312" w:hint="eastAsia"/>
          <w:sz w:val="32"/>
          <w:szCs w:val="32"/>
          <w:shd w:val="clear" w:color="auto" w:fill="FFFFFF"/>
        </w:rPr>
        <w:t>数及其</w:t>
      </w:r>
      <w:proofErr w:type="gramEnd"/>
      <w:r w:rsidRPr="00CE340D">
        <w:rPr>
          <w:rFonts w:ascii="仿宋_GB2312" w:eastAsia="仿宋_GB2312" w:hAnsi="宋体" w:cs="仿宋_GB2312" w:hint="eastAsia"/>
          <w:sz w:val="32"/>
          <w:szCs w:val="32"/>
          <w:shd w:val="clear" w:color="auto" w:fill="FFFFFF"/>
        </w:rPr>
        <w:t>本期变动情况。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（四）公共基础设施在建工程的期初、期末金额及其增减变动情况。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lastRenderedPageBreak/>
        <w:t>（五）各类公共基础设施的实物量。</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（六）已提足折旧继续使用的公共基础设施的名称、数量等情况。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（七）无偿调入和调出的公共基础设施名称、数量等情况。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（八）</w:t>
      </w:r>
      <w:proofErr w:type="gramStart"/>
      <w:r w:rsidRPr="00CE340D">
        <w:rPr>
          <w:rFonts w:ascii="仿宋_GB2312" w:eastAsia="仿宋_GB2312" w:hAnsi="宋体" w:cs="仿宋_GB2312" w:hint="eastAsia"/>
          <w:sz w:val="32"/>
          <w:szCs w:val="32"/>
          <w:shd w:val="clear" w:color="auto" w:fill="FFFFFF"/>
        </w:rPr>
        <w:t>暂估入账</w:t>
      </w:r>
      <w:proofErr w:type="gramEnd"/>
      <w:r w:rsidRPr="00CE340D">
        <w:rPr>
          <w:rFonts w:ascii="仿宋_GB2312" w:eastAsia="仿宋_GB2312" w:hAnsi="宋体" w:cs="仿宋_GB2312" w:hint="eastAsia"/>
          <w:sz w:val="32"/>
          <w:szCs w:val="32"/>
          <w:shd w:val="clear" w:color="auto" w:fill="FFFFFF"/>
        </w:rPr>
        <w:t>的公共基础设施账面价值变动情况。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（九）公共基础设施年度维护费用和其他后续支出情况。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r w:rsidRPr="00CE340D">
        <w:rPr>
          <w:rFonts w:ascii="仿宋_GB2312" w:eastAsia="仿宋_GB2312" w:hAnsi="宋体" w:cs="仿宋_GB2312" w:hint="eastAsia"/>
          <w:sz w:val="32"/>
          <w:szCs w:val="32"/>
          <w:shd w:val="clear" w:color="auto" w:fill="FFFFFF"/>
        </w:rPr>
        <w:t>（十）公共基础设施毁损、报废等处置情况。</w:t>
      </w:r>
    </w:p>
    <w:p w:rsidR="00C774E6" w:rsidRPr="00CE340D" w:rsidRDefault="00C774E6" w:rsidP="007129E6">
      <w:pPr>
        <w:widowControl w:val="0"/>
        <w:shd w:val="clear" w:color="auto" w:fill="FFFFFF"/>
        <w:snapToGrid/>
        <w:spacing w:after="0" w:line="360" w:lineRule="auto"/>
        <w:ind w:firstLineChars="200" w:firstLine="640"/>
        <w:jc w:val="both"/>
        <w:rPr>
          <w:rFonts w:ascii="仿宋_GB2312" w:eastAsia="仿宋_GB2312" w:hAnsi="宋体"/>
          <w:sz w:val="32"/>
          <w:szCs w:val="32"/>
          <w:shd w:val="clear" w:color="auto" w:fill="FFFFFF"/>
        </w:rPr>
      </w:pPr>
    </w:p>
    <w:p w:rsidR="00C774E6" w:rsidRPr="00CE340D" w:rsidRDefault="00C774E6" w:rsidP="00873468">
      <w:pPr>
        <w:widowControl w:val="0"/>
        <w:shd w:val="clear" w:color="auto" w:fill="FFFFFF"/>
        <w:snapToGrid/>
        <w:spacing w:after="0" w:line="360" w:lineRule="auto"/>
        <w:jc w:val="center"/>
        <w:rPr>
          <w:rFonts w:ascii="黑体" w:eastAsia="黑体" w:hAnsi="黑体"/>
          <w:sz w:val="32"/>
          <w:szCs w:val="32"/>
          <w:shd w:val="clear" w:color="auto" w:fill="FFFFFF"/>
        </w:rPr>
      </w:pPr>
      <w:r w:rsidRPr="00CE340D">
        <w:rPr>
          <w:rFonts w:ascii="黑体" w:eastAsia="黑体" w:hAnsi="黑体" w:cs="黑体" w:hint="eastAsia"/>
          <w:sz w:val="32"/>
          <w:szCs w:val="32"/>
          <w:shd w:val="clear" w:color="auto" w:fill="FFFFFF"/>
        </w:rPr>
        <w:t>第六章</w:t>
      </w:r>
      <w:r w:rsidRPr="00CE340D">
        <w:rPr>
          <w:rFonts w:ascii="黑体" w:eastAsia="黑体" w:hAnsi="黑体" w:cs="黑体"/>
          <w:sz w:val="32"/>
          <w:szCs w:val="32"/>
          <w:shd w:val="clear" w:color="auto" w:fill="FFFFFF"/>
        </w:rPr>
        <w:t xml:space="preserve">  </w:t>
      </w:r>
      <w:r w:rsidRPr="00CE340D">
        <w:rPr>
          <w:rFonts w:ascii="黑体" w:eastAsia="黑体" w:hAnsi="黑体" w:cs="黑体" w:hint="eastAsia"/>
          <w:sz w:val="32"/>
          <w:szCs w:val="32"/>
          <w:shd w:val="clear" w:color="auto" w:fill="FFFFFF"/>
        </w:rPr>
        <w:t>附则</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第二十七条（固定资产重分类）</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对于应当确认为公共基础设施、但已确认为固定资产的资产，政府会计主体应当在本准则首次执行日将该资产重分类为公共基础设施。</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第二十八条（未入账存量公共基础设施的初始成本</w:t>
      </w:r>
      <w:r w:rsidR="00BB1A3E">
        <w:rPr>
          <w:rFonts w:ascii="仿宋_GB2312" w:eastAsia="仿宋_GB2312" w:cs="仿宋_GB2312" w:hint="eastAsia"/>
          <w:b/>
          <w:bCs/>
          <w:sz w:val="32"/>
          <w:szCs w:val="32"/>
          <w:shd w:val="clear" w:color="auto" w:fill="FFFFFF"/>
        </w:rPr>
        <w:t>确定</w:t>
      </w:r>
      <w:r w:rsidRPr="00CE340D">
        <w:rPr>
          <w:rFonts w:ascii="仿宋_GB2312" w:eastAsia="仿宋_GB2312" w:cs="仿宋_GB2312" w:hint="eastAsia"/>
          <w:b/>
          <w:bCs/>
          <w:sz w:val="32"/>
          <w:szCs w:val="32"/>
          <w:shd w:val="clear" w:color="auto" w:fill="FFFFFF"/>
        </w:rPr>
        <w:t>）</w:t>
      </w:r>
      <w:r w:rsidRPr="00CE340D">
        <w:rPr>
          <w:rFonts w:ascii="仿宋_GB2312" w:eastAsia="仿宋_GB2312" w:cs="仿宋_GB2312"/>
          <w:b/>
          <w:bCs/>
          <w:color w:val="FF0000"/>
          <w:sz w:val="32"/>
          <w:szCs w:val="32"/>
          <w:shd w:val="clear" w:color="auto" w:fill="FFFFFF"/>
        </w:rPr>
        <w:t xml:space="preserve"> </w:t>
      </w:r>
      <w:r w:rsidRPr="00CE340D">
        <w:rPr>
          <w:rFonts w:ascii="仿宋_GB2312" w:eastAsia="仿宋_GB2312" w:cs="仿宋_GB2312" w:hint="eastAsia"/>
          <w:sz w:val="32"/>
          <w:szCs w:val="32"/>
          <w:shd w:val="clear" w:color="auto" w:fill="FFFFFF"/>
        </w:rPr>
        <w:t>对于应当确认但尚未入账的存量公共基础设施，政府会计主体应当在首次执行</w:t>
      </w:r>
      <w:proofErr w:type="gramStart"/>
      <w:r w:rsidRPr="00CE340D">
        <w:rPr>
          <w:rFonts w:ascii="仿宋_GB2312" w:eastAsia="仿宋_GB2312" w:cs="仿宋_GB2312" w:hint="eastAsia"/>
          <w:sz w:val="32"/>
          <w:szCs w:val="32"/>
          <w:shd w:val="clear" w:color="auto" w:fill="FFFFFF"/>
        </w:rPr>
        <w:t>日按照</w:t>
      </w:r>
      <w:proofErr w:type="gramEnd"/>
      <w:r w:rsidRPr="00CE340D">
        <w:rPr>
          <w:rFonts w:ascii="仿宋_GB2312" w:eastAsia="仿宋_GB2312" w:cs="仿宋_GB2312" w:hint="eastAsia"/>
          <w:sz w:val="32"/>
          <w:szCs w:val="32"/>
          <w:shd w:val="clear" w:color="auto" w:fill="FFFFFF"/>
        </w:rPr>
        <w:t>以下原则确定其初始入账成本：</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（一）可以取得相关原始凭据的，其成本按照有关原</w:t>
      </w:r>
      <w:r w:rsidRPr="00CE340D">
        <w:rPr>
          <w:rFonts w:ascii="仿宋_GB2312" w:eastAsia="仿宋_GB2312" w:cs="仿宋_GB2312" w:hint="eastAsia"/>
          <w:sz w:val="32"/>
          <w:szCs w:val="32"/>
          <w:shd w:val="clear" w:color="auto" w:fill="FFFFFF"/>
        </w:rPr>
        <w:lastRenderedPageBreak/>
        <w:t>始凭据注明的金额减去应计提的累计折旧后的差额确定；</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sz w:val="32"/>
          <w:szCs w:val="32"/>
          <w:shd w:val="clear" w:color="auto" w:fill="FFFFFF"/>
        </w:rPr>
      </w:pPr>
      <w:r w:rsidRPr="00CE340D">
        <w:rPr>
          <w:rFonts w:ascii="仿宋_GB2312" w:eastAsia="仿宋_GB2312" w:cs="仿宋_GB2312" w:hint="eastAsia"/>
          <w:sz w:val="32"/>
          <w:szCs w:val="32"/>
          <w:shd w:val="clear" w:color="auto" w:fill="FFFFFF"/>
        </w:rPr>
        <w:t>（二）没有相关凭据可供取得，但按规定经过资产评估的，其成本按照评估价值确定；</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0"/>
        <w:jc w:val="both"/>
        <w:rPr>
          <w:rFonts w:ascii="仿宋_GB2312" w:eastAsia="仿宋_GB2312" w:cs="Tahoma"/>
          <w:b/>
          <w:bCs/>
          <w:sz w:val="32"/>
          <w:szCs w:val="32"/>
          <w:shd w:val="clear" w:color="auto" w:fill="FFFFFF"/>
        </w:rPr>
      </w:pPr>
      <w:r w:rsidRPr="00CE340D">
        <w:rPr>
          <w:rFonts w:ascii="仿宋_GB2312" w:eastAsia="仿宋_GB2312" w:cs="仿宋_GB2312" w:hint="eastAsia"/>
          <w:sz w:val="32"/>
          <w:szCs w:val="32"/>
          <w:shd w:val="clear" w:color="auto" w:fill="FFFFFF"/>
        </w:rPr>
        <w:t>（三）没有相关凭据可供取得、也未经资产评估的，其成本按照重置成本确定。</w:t>
      </w:r>
    </w:p>
    <w:p w:rsidR="00C774E6" w:rsidRPr="00CE340D" w:rsidRDefault="00C774E6" w:rsidP="007129E6">
      <w:pPr>
        <w:pStyle w:val="a3"/>
        <w:widowControl w:val="0"/>
        <w:shd w:val="clear" w:color="auto" w:fill="FFFFFF"/>
        <w:spacing w:before="0" w:beforeAutospacing="0" w:after="0" w:afterAutospacing="0" w:line="360" w:lineRule="auto"/>
        <w:ind w:firstLineChars="200" w:firstLine="643"/>
        <w:jc w:val="both"/>
        <w:rPr>
          <w:rFonts w:ascii="仿宋_GB2312" w:eastAsia="仿宋_GB2312" w:cs="Tahoma"/>
          <w:sz w:val="32"/>
          <w:szCs w:val="32"/>
          <w:shd w:val="clear" w:color="auto" w:fill="FFFFFF"/>
        </w:rPr>
      </w:pPr>
      <w:r w:rsidRPr="00CE340D">
        <w:rPr>
          <w:rFonts w:ascii="仿宋_GB2312" w:eastAsia="仿宋_GB2312" w:cs="仿宋_GB2312" w:hint="eastAsia"/>
          <w:b/>
          <w:bCs/>
          <w:sz w:val="32"/>
          <w:szCs w:val="32"/>
          <w:shd w:val="clear" w:color="auto" w:fill="FFFFFF"/>
        </w:rPr>
        <w:t>第二十九条（保障性住房的会计处理）</w:t>
      </w:r>
      <w:r w:rsidRPr="00CE340D">
        <w:rPr>
          <w:rFonts w:ascii="仿宋_GB2312" w:eastAsia="仿宋_GB2312" w:cs="仿宋_GB2312"/>
          <w:b/>
          <w:bCs/>
          <w:sz w:val="32"/>
          <w:szCs w:val="32"/>
          <w:shd w:val="clear" w:color="auto" w:fill="FFFFFF"/>
        </w:rPr>
        <w:t xml:space="preserve"> </w:t>
      </w:r>
      <w:r w:rsidRPr="00CE340D">
        <w:rPr>
          <w:rFonts w:ascii="仿宋_GB2312" w:eastAsia="仿宋_GB2312" w:cs="仿宋_GB2312" w:hint="eastAsia"/>
          <w:sz w:val="32"/>
          <w:szCs w:val="32"/>
          <w:shd w:val="clear" w:color="auto" w:fill="FFFFFF"/>
        </w:rPr>
        <w:t>政府会计主体负责管理和维护的保障性住房，参照本准则进行</w:t>
      </w:r>
      <w:r w:rsidR="00BB1A3E">
        <w:rPr>
          <w:rFonts w:ascii="仿宋_GB2312" w:eastAsia="仿宋_GB2312" w:cs="仿宋_GB2312" w:hint="eastAsia"/>
          <w:sz w:val="32"/>
          <w:szCs w:val="32"/>
          <w:shd w:val="clear" w:color="auto" w:fill="FFFFFF"/>
        </w:rPr>
        <w:t>确认、计量和披露</w:t>
      </w:r>
      <w:r w:rsidRPr="00CE340D">
        <w:rPr>
          <w:rFonts w:ascii="仿宋_GB2312" w:eastAsia="仿宋_GB2312" w:cs="仿宋_GB2312" w:hint="eastAsia"/>
          <w:sz w:val="32"/>
          <w:szCs w:val="32"/>
          <w:shd w:val="clear" w:color="auto" w:fill="FFFFFF"/>
        </w:rPr>
        <w:t>。</w:t>
      </w:r>
    </w:p>
    <w:p w:rsidR="00C774E6" w:rsidRPr="00CE340D" w:rsidRDefault="00C774E6" w:rsidP="007129E6">
      <w:pPr>
        <w:widowControl w:val="0"/>
        <w:shd w:val="clear" w:color="auto" w:fill="FFFFFF"/>
        <w:snapToGrid/>
        <w:spacing w:after="0" w:line="360" w:lineRule="auto"/>
        <w:ind w:firstLineChars="200" w:firstLine="643"/>
        <w:jc w:val="both"/>
        <w:rPr>
          <w:rFonts w:ascii="仿宋_GB2312" w:eastAsia="仿宋_GB2312" w:hAnsi="宋体"/>
          <w:b/>
          <w:bCs/>
          <w:sz w:val="32"/>
          <w:szCs w:val="32"/>
          <w:shd w:val="clear" w:color="auto" w:fill="FFFFFF"/>
        </w:rPr>
      </w:pPr>
      <w:r w:rsidRPr="00CE340D">
        <w:rPr>
          <w:rFonts w:ascii="仿宋_GB2312" w:eastAsia="仿宋_GB2312" w:hAnsi="宋体" w:cs="仿宋_GB2312" w:hint="eastAsia"/>
          <w:b/>
          <w:bCs/>
          <w:sz w:val="32"/>
          <w:szCs w:val="32"/>
          <w:shd w:val="clear" w:color="auto" w:fill="FFFFFF"/>
        </w:rPr>
        <w:t>第三十条（生效日期）</w:t>
      </w:r>
      <w:r w:rsidRPr="00CE340D">
        <w:rPr>
          <w:rFonts w:ascii="仿宋_GB2312" w:eastAsia="仿宋_GB2312" w:hAnsi="宋体" w:cs="仿宋_GB2312"/>
          <w:sz w:val="32"/>
          <w:szCs w:val="32"/>
          <w:shd w:val="clear" w:color="auto" w:fill="FFFFFF"/>
        </w:rPr>
        <w:t xml:space="preserve"> </w:t>
      </w:r>
      <w:r w:rsidRPr="00CE340D">
        <w:rPr>
          <w:rFonts w:ascii="仿宋_GB2312" w:eastAsia="仿宋_GB2312" w:hAnsi="宋体" w:cs="仿宋_GB2312" w:hint="eastAsia"/>
          <w:sz w:val="32"/>
          <w:szCs w:val="32"/>
          <w:shd w:val="clear" w:color="auto" w:fill="FFFFFF"/>
        </w:rPr>
        <w:t>本准则自</w:t>
      </w:r>
      <w:r w:rsidRPr="00CE340D">
        <w:rPr>
          <w:rFonts w:ascii="仿宋_GB2312" w:eastAsia="仿宋_GB2312" w:hAnsi="宋体" w:cs="仿宋_GB2312"/>
          <w:sz w:val="32"/>
          <w:szCs w:val="32"/>
          <w:shd w:val="clear" w:color="auto" w:fill="FFFFFF"/>
        </w:rPr>
        <w:t>20</w:t>
      </w:r>
      <w:r w:rsidRPr="00CE340D">
        <w:rPr>
          <w:rFonts w:ascii="仿宋_GB2312" w:eastAsia="仿宋_GB2312" w:hAnsi="宋体" w:cs="仿宋_GB2312" w:hint="eastAsia"/>
          <w:sz w:val="32"/>
          <w:szCs w:val="32"/>
          <w:shd w:val="clear" w:color="auto" w:fill="FFFFFF"/>
        </w:rPr>
        <w:t>××年</w:t>
      </w:r>
      <w:r w:rsidRPr="00CE340D">
        <w:rPr>
          <w:rFonts w:ascii="仿宋_GB2312" w:eastAsia="仿宋_GB2312" w:hAnsi="宋体" w:cs="仿宋_GB2312"/>
          <w:sz w:val="32"/>
          <w:szCs w:val="32"/>
          <w:shd w:val="clear" w:color="auto" w:fill="FFFFFF"/>
        </w:rPr>
        <w:t>1</w:t>
      </w:r>
      <w:r w:rsidRPr="00CE340D">
        <w:rPr>
          <w:rFonts w:ascii="仿宋_GB2312" w:eastAsia="仿宋_GB2312" w:hAnsi="宋体" w:cs="仿宋_GB2312" w:hint="eastAsia"/>
          <w:sz w:val="32"/>
          <w:szCs w:val="32"/>
          <w:shd w:val="clear" w:color="auto" w:fill="FFFFFF"/>
        </w:rPr>
        <w:t>月</w:t>
      </w:r>
      <w:r w:rsidRPr="00CE340D">
        <w:rPr>
          <w:rFonts w:ascii="仿宋_GB2312" w:eastAsia="仿宋_GB2312" w:hAnsi="宋体" w:cs="仿宋_GB2312"/>
          <w:sz w:val="32"/>
          <w:szCs w:val="32"/>
          <w:shd w:val="clear" w:color="auto" w:fill="FFFFFF"/>
        </w:rPr>
        <w:t>1</w:t>
      </w:r>
      <w:r w:rsidRPr="00CE340D">
        <w:rPr>
          <w:rFonts w:ascii="仿宋_GB2312" w:eastAsia="仿宋_GB2312" w:hAnsi="宋体" w:cs="仿宋_GB2312" w:hint="eastAsia"/>
          <w:sz w:val="32"/>
          <w:szCs w:val="32"/>
          <w:shd w:val="clear" w:color="auto" w:fill="FFFFFF"/>
        </w:rPr>
        <w:t>日起施行。</w:t>
      </w:r>
    </w:p>
    <w:sectPr w:rsidR="00C774E6" w:rsidRPr="00CE340D" w:rsidSect="004358AB">
      <w:footerReference w:type="default" r:id="rId8"/>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106" w:rsidRDefault="00B04106" w:rsidP="00BF374D">
      <w:pPr>
        <w:spacing w:after="0"/>
      </w:pPr>
      <w:r>
        <w:separator/>
      </w:r>
    </w:p>
  </w:endnote>
  <w:endnote w:type="continuationSeparator" w:id="0">
    <w:p w:rsidR="00B04106" w:rsidRDefault="00B04106" w:rsidP="00BF374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4E6" w:rsidRDefault="00097FAE">
    <w:pPr>
      <w:pStyle w:val="a5"/>
      <w:jc w:val="center"/>
    </w:pPr>
    <w:r>
      <w:fldChar w:fldCharType="begin"/>
    </w:r>
    <w:r w:rsidR="00BE1E04">
      <w:instrText xml:space="preserve"> PAGE   \* MERGEFORMAT </w:instrText>
    </w:r>
    <w:r>
      <w:fldChar w:fldCharType="separate"/>
    </w:r>
    <w:r w:rsidR="00521E35" w:rsidRPr="00521E35">
      <w:rPr>
        <w:noProof/>
        <w:lang w:val="zh-CN"/>
      </w:rPr>
      <w:t>11</w:t>
    </w:r>
    <w:r>
      <w:rPr>
        <w:noProof/>
        <w:lang w:val="zh-CN"/>
      </w:rPr>
      <w:fldChar w:fldCharType="end"/>
    </w:r>
  </w:p>
  <w:p w:rsidR="00C774E6" w:rsidRDefault="00C774E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106" w:rsidRDefault="00B04106" w:rsidP="00BF374D">
      <w:pPr>
        <w:spacing w:after="0"/>
      </w:pPr>
      <w:r>
        <w:separator/>
      </w:r>
    </w:p>
  </w:footnote>
  <w:footnote w:type="continuationSeparator" w:id="0">
    <w:p w:rsidR="00B04106" w:rsidRDefault="00B04106" w:rsidP="00BF374D">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479F7"/>
    <w:multiLevelType w:val="hybridMultilevel"/>
    <w:tmpl w:val="9A1A7A7A"/>
    <w:lvl w:ilvl="0" w:tplc="2474CC72">
      <w:start w:val="1"/>
      <w:numFmt w:val="bullet"/>
      <w:lvlText w:val=""/>
      <w:lvlJc w:val="left"/>
      <w:pPr>
        <w:tabs>
          <w:tab w:val="num" w:pos="720"/>
        </w:tabs>
        <w:ind w:left="720" w:hanging="360"/>
      </w:pPr>
      <w:rPr>
        <w:rFonts w:ascii="Wingdings" w:hAnsi="Wingdings" w:hint="default"/>
      </w:rPr>
    </w:lvl>
    <w:lvl w:ilvl="1" w:tplc="B0FC559E">
      <w:start w:val="1"/>
      <w:numFmt w:val="bullet"/>
      <w:lvlText w:val=""/>
      <w:lvlJc w:val="left"/>
      <w:pPr>
        <w:tabs>
          <w:tab w:val="num" w:pos="1440"/>
        </w:tabs>
        <w:ind w:left="1440" w:hanging="360"/>
      </w:pPr>
      <w:rPr>
        <w:rFonts w:ascii="Wingdings" w:hAnsi="Wingdings" w:cs="Wingdings" w:hint="default"/>
      </w:rPr>
    </w:lvl>
    <w:lvl w:ilvl="2" w:tplc="EE9EB27E">
      <w:start w:val="1"/>
      <w:numFmt w:val="bullet"/>
      <w:lvlText w:val=""/>
      <w:lvlJc w:val="left"/>
      <w:pPr>
        <w:tabs>
          <w:tab w:val="num" w:pos="2160"/>
        </w:tabs>
        <w:ind w:left="2160" w:hanging="360"/>
      </w:pPr>
      <w:rPr>
        <w:rFonts w:ascii="Wingdings" w:hAnsi="Wingdings" w:cs="Wingdings" w:hint="default"/>
      </w:rPr>
    </w:lvl>
    <w:lvl w:ilvl="3" w:tplc="19BA438A">
      <w:start w:val="1"/>
      <w:numFmt w:val="bullet"/>
      <w:lvlText w:val=""/>
      <w:lvlJc w:val="left"/>
      <w:pPr>
        <w:tabs>
          <w:tab w:val="num" w:pos="2880"/>
        </w:tabs>
        <w:ind w:left="2880" w:hanging="360"/>
      </w:pPr>
      <w:rPr>
        <w:rFonts w:ascii="Wingdings" w:hAnsi="Wingdings" w:cs="Wingdings" w:hint="default"/>
      </w:rPr>
    </w:lvl>
    <w:lvl w:ilvl="4" w:tplc="9A0EA1FA">
      <w:start w:val="1"/>
      <w:numFmt w:val="bullet"/>
      <w:lvlText w:val=""/>
      <w:lvlJc w:val="left"/>
      <w:pPr>
        <w:tabs>
          <w:tab w:val="num" w:pos="3600"/>
        </w:tabs>
        <w:ind w:left="3600" w:hanging="360"/>
      </w:pPr>
      <w:rPr>
        <w:rFonts w:ascii="Wingdings" w:hAnsi="Wingdings" w:cs="Wingdings" w:hint="default"/>
      </w:rPr>
    </w:lvl>
    <w:lvl w:ilvl="5" w:tplc="65C8425C">
      <w:start w:val="1"/>
      <w:numFmt w:val="bullet"/>
      <w:lvlText w:val=""/>
      <w:lvlJc w:val="left"/>
      <w:pPr>
        <w:tabs>
          <w:tab w:val="num" w:pos="4320"/>
        </w:tabs>
        <w:ind w:left="4320" w:hanging="360"/>
      </w:pPr>
      <w:rPr>
        <w:rFonts w:ascii="Wingdings" w:hAnsi="Wingdings" w:cs="Wingdings" w:hint="default"/>
      </w:rPr>
    </w:lvl>
    <w:lvl w:ilvl="6" w:tplc="11F8ABF4">
      <w:start w:val="1"/>
      <w:numFmt w:val="bullet"/>
      <w:lvlText w:val=""/>
      <w:lvlJc w:val="left"/>
      <w:pPr>
        <w:tabs>
          <w:tab w:val="num" w:pos="5040"/>
        </w:tabs>
        <w:ind w:left="5040" w:hanging="360"/>
      </w:pPr>
      <w:rPr>
        <w:rFonts w:ascii="Wingdings" w:hAnsi="Wingdings" w:cs="Wingdings" w:hint="default"/>
      </w:rPr>
    </w:lvl>
    <w:lvl w:ilvl="7" w:tplc="5B3C7104">
      <w:start w:val="1"/>
      <w:numFmt w:val="bullet"/>
      <w:lvlText w:val=""/>
      <w:lvlJc w:val="left"/>
      <w:pPr>
        <w:tabs>
          <w:tab w:val="num" w:pos="5760"/>
        </w:tabs>
        <w:ind w:left="5760" w:hanging="360"/>
      </w:pPr>
      <w:rPr>
        <w:rFonts w:ascii="Wingdings" w:hAnsi="Wingdings" w:cs="Wingdings" w:hint="default"/>
      </w:rPr>
    </w:lvl>
    <w:lvl w:ilvl="8" w:tplc="42BA2D84">
      <w:start w:val="1"/>
      <w:numFmt w:val="bullet"/>
      <w:lvlText w:val=""/>
      <w:lvlJc w:val="left"/>
      <w:pPr>
        <w:tabs>
          <w:tab w:val="num" w:pos="6480"/>
        </w:tabs>
        <w:ind w:left="6480" w:hanging="360"/>
      </w:pPr>
      <w:rPr>
        <w:rFonts w:ascii="Wingdings" w:hAnsi="Wingdings" w:cs="Wingdings" w:hint="default"/>
      </w:rPr>
    </w:lvl>
  </w:abstractNum>
  <w:abstractNum w:abstractNumId="1">
    <w:nsid w:val="565E3D0E"/>
    <w:multiLevelType w:val="singleLevel"/>
    <w:tmpl w:val="565E3D0E"/>
    <w:lvl w:ilvl="0">
      <w:start w:val="2"/>
      <w:numFmt w:val="chineseCounting"/>
      <w:suff w:val="space"/>
      <w:lvlText w:val="第%1条"/>
      <w:lvlJc w:val="left"/>
    </w:lvl>
  </w:abstractNum>
  <w:abstractNum w:abstractNumId="2">
    <w:nsid w:val="65D56066"/>
    <w:multiLevelType w:val="hybridMultilevel"/>
    <w:tmpl w:val="DCBA7E46"/>
    <w:lvl w:ilvl="0" w:tplc="D9B0C16C">
      <w:start w:val="1"/>
      <w:numFmt w:val="decimal"/>
      <w:lvlText w:val="（%1）"/>
      <w:lvlJc w:val="left"/>
      <w:pPr>
        <w:ind w:left="2007" w:hanging="720"/>
      </w:pPr>
      <w:rPr>
        <w:rFonts w:hint="default"/>
      </w:rPr>
    </w:lvl>
    <w:lvl w:ilvl="1" w:tplc="08090019">
      <w:start w:val="1"/>
      <w:numFmt w:val="lowerLetter"/>
      <w:lvlText w:val="%2."/>
      <w:lvlJc w:val="left"/>
      <w:pPr>
        <w:ind w:left="2367" w:hanging="360"/>
      </w:pPr>
    </w:lvl>
    <w:lvl w:ilvl="2" w:tplc="0809001B">
      <w:start w:val="1"/>
      <w:numFmt w:val="lowerRoman"/>
      <w:lvlText w:val="%3."/>
      <w:lvlJc w:val="right"/>
      <w:pPr>
        <w:ind w:left="3087" w:hanging="180"/>
      </w:pPr>
    </w:lvl>
    <w:lvl w:ilvl="3" w:tplc="0809000F">
      <w:start w:val="1"/>
      <w:numFmt w:val="decimal"/>
      <w:lvlText w:val="%4."/>
      <w:lvlJc w:val="left"/>
      <w:pPr>
        <w:ind w:left="3807" w:hanging="360"/>
      </w:pPr>
    </w:lvl>
    <w:lvl w:ilvl="4" w:tplc="08090019">
      <w:start w:val="1"/>
      <w:numFmt w:val="lowerLetter"/>
      <w:lvlText w:val="%5."/>
      <w:lvlJc w:val="left"/>
      <w:pPr>
        <w:ind w:left="4527" w:hanging="360"/>
      </w:pPr>
    </w:lvl>
    <w:lvl w:ilvl="5" w:tplc="0809001B">
      <w:start w:val="1"/>
      <w:numFmt w:val="lowerRoman"/>
      <w:lvlText w:val="%6."/>
      <w:lvlJc w:val="right"/>
      <w:pPr>
        <w:ind w:left="5247" w:hanging="180"/>
      </w:pPr>
    </w:lvl>
    <w:lvl w:ilvl="6" w:tplc="0809000F">
      <w:start w:val="1"/>
      <w:numFmt w:val="decimal"/>
      <w:lvlText w:val="%7."/>
      <w:lvlJc w:val="left"/>
      <w:pPr>
        <w:ind w:left="5967" w:hanging="360"/>
      </w:pPr>
    </w:lvl>
    <w:lvl w:ilvl="7" w:tplc="08090019">
      <w:start w:val="1"/>
      <w:numFmt w:val="lowerLetter"/>
      <w:lvlText w:val="%8."/>
      <w:lvlJc w:val="left"/>
      <w:pPr>
        <w:ind w:left="6687" w:hanging="360"/>
      </w:pPr>
    </w:lvl>
    <w:lvl w:ilvl="8" w:tplc="0809001B">
      <w:start w:val="1"/>
      <w:numFmt w:val="lowerRoman"/>
      <w:lvlText w:val="%9."/>
      <w:lvlJc w:val="right"/>
      <w:pPr>
        <w:ind w:left="7407" w:hanging="180"/>
      </w:pPr>
    </w:lvl>
  </w:abstractNum>
  <w:num w:numId="1">
    <w:abstractNumId w:val="1"/>
  </w:num>
  <w:num w:numId="2">
    <w:abstractNumId w:val="0"/>
  </w:num>
  <w:num w:numId="3">
    <w:abstractNumId w:val="1"/>
    <w:lvlOverride w:ilvl="0">
      <w:startOverride w:val="2"/>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embedSystemFonts/>
  <w:bordersDoNotSurroundHeader/>
  <w:bordersDoNotSurroundFooter/>
  <w:proofState w:spelling="clean" w:grammar="clean"/>
  <w:trackRevisions/>
  <w:defaultTabStop w:val="720"/>
  <w:doNotHyphenateCaps/>
  <w:characterSpacingControl w:val="doNotCompress"/>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F374D"/>
    <w:rsid w:val="00001058"/>
    <w:rsid w:val="00006CB2"/>
    <w:rsid w:val="00007903"/>
    <w:rsid w:val="00030956"/>
    <w:rsid w:val="00031C7A"/>
    <w:rsid w:val="00033A92"/>
    <w:rsid w:val="0003616C"/>
    <w:rsid w:val="000416F6"/>
    <w:rsid w:val="0005076C"/>
    <w:rsid w:val="00063B65"/>
    <w:rsid w:val="00097FAE"/>
    <w:rsid w:val="000A110E"/>
    <w:rsid w:val="000A41CB"/>
    <w:rsid w:val="000A6DEF"/>
    <w:rsid w:val="000B44B9"/>
    <w:rsid w:val="000C0206"/>
    <w:rsid w:val="000C0FFD"/>
    <w:rsid w:val="000C4C96"/>
    <w:rsid w:val="000C7B5B"/>
    <w:rsid w:val="000D50D1"/>
    <w:rsid w:val="000E0BEC"/>
    <w:rsid w:val="000E46A2"/>
    <w:rsid w:val="000E5285"/>
    <w:rsid w:val="000E72F3"/>
    <w:rsid w:val="000F0775"/>
    <w:rsid w:val="00117553"/>
    <w:rsid w:val="001223F7"/>
    <w:rsid w:val="00124889"/>
    <w:rsid w:val="001328F5"/>
    <w:rsid w:val="001429E6"/>
    <w:rsid w:val="0014626C"/>
    <w:rsid w:val="001514F4"/>
    <w:rsid w:val="00160507"/>
    <w:rsid w:val="001751B0"/>
    <w:rsid w:val="00175E59"/>
    <w:rsid w:val="001832A0"/>
    <w:rsid w:val="00187184"/>
    <w:rsid w:val="001932B1"/>
    <w:rsid w:val="001B7E1D"/>
    <w:rsid w:val="001C1267"/>
    <w:rsid w:val="001D6F0A"/>
    <w:rsid w:val="001D79DD"/>
    <w:rsid w:val="001E3C6D"/>
    <w:rsid w:val="001F10A8"/>
    <w:rsid w:val="00203F5D"/>
    <w:rsid w:val="00246DD9"/>
    <w:rsid w:val="0025091E"/>
    <w:rsid w:val="002564C8"/>
    <w:rsid w:val="002743C4"/>
    <w:rsid w:val="00276632"/>
    <w:rsid w:val="002C7614"/>
    <w:rsid w:val="002D7A55"/>
    <w:rsid w:val="002E1184"/>
    <w:rsid w:val="002E329F"/>
    <w:rsid w:val="002E624F"/>
    <w:rsid w:val="002F041F"/>
    <w:rsid w:val="002F6261"/>
    <w:rsid w:val="00307418"/>
    <w:rsid w:val="00320319"/>
    <w:rsid w:val="00323B43"/>
    <w:rsid w:val="003268C2"/>
    <w:rsid w:val="00331283"/>
    <w:rsid w:val="003322D5"/>
    <w:rsid w:val="00332332"/>
    <w:rsid w:val="00332710"/>
    <w:rsid w:val="00333B4D"/>
    <w:rsid w:val="00343356"/>
    <w:rsid w:val="0036745F"/>
    <w:rsid w:val="00377531"/>
    <w:rsid w:val="003C2055"/>
    <w:rsid w:val="003C3338"/>
    <w:rsid w:val="003D19F8"/>
    <w:rsid w:val="003D37D8"/>
    <w:rsid w:val="003D497F"/>
    <w:rsid w:val="003F1C95"/>
    <w:rsid w:val="003F3D8D"/>
    <w:rsid w:val="004051F3"/>
    <w:rsid w:val="004063FF"/>
    <w:rsid w:val="00407464"/>
    <w:rsid w:val="00425F06"/>
    <w:rsid w:val="00425F99"/>
    <w:rsid w:val="00427252"/>
    <w:rsid w:val="0042761A"/>
    <w:rsid w:val="00433F99"/>
    <w:rsid w:val="004358AB"/>
    <w:rsid w:val="00441AC0"/>
    <w:rsid w:val="0045116C"/>
    <w:rsid w:val="004577BE"/>
    <w:rsid w:val="00464DEB"/>
    <w:rsid w:val="0047108C"/>
    <w:rsid w:val="00476136"/>
    <w:rsid w:val="004807DF"/>
    <w:rsid w:val="00492BD1"/>
    <w:rsid w:val="004A05CD"/>
    <w:rsid w:val="004A5CE1"/>
    <w:rsid w:val="004D0047"/>
    <w:rsid w:val="004D4E4B"/>
    <w:rsid w:val="004D54F0"/>
    <w:rsid w:val="004F3D9D"/>
    <w:rsid w:val="004F3E7A"/>
    <w:rsid w:val="00521E35"/>
    <w:rsid w:val="0053308A"/>
    <w:rsid w:val="00542FA4"/>
    <w:rsid w:val="005538D5"/>
    <w:rsid w:val="00556300"/>
    <w:rsid w:val="00584C3A"/>
    <w:rsid w:val="005A0268"/>
    <w:rsid w:val="005A7B39"/>
    <w:rsid w:val="005B1F38"/>
    <w:rsid w:val="005B4A9C"/>
    <w:rsid w:val="005B7FE0"/>
    <w:rsid w:val="005E1E69"/>
    <w:rsid w:val="005E3C3E"/>
    <w:rsid w:val="005F2179"/>
    <w:rsid w:val="00616283"/>
    <w:rsid w:val="0061796B"/>
    <w:rsid w:val="0063324E"/>
    <w:rsid w:val="006460B2"/>
    <w:rsid w:val="006471C4"/>
    <w:rsid w:val="006625BE"/>
    <w:rsid w:val="00670E05"/>
    <w:rsid w:val="006829A3"/>
    <w:rsid w:val="00685865"/>
    <w:rsid w:val="00690776"/>
    <w:rsid w:val="00691520"/>
    <w:rsid w:val="00695615"/>
    <w:rsid w:val="006971D7"/>
    <w:rsid w:val="006A0ADA"/>
    <w:rsid w:val="006A59CF"/>
    <w:rsid w:val="006E246F"/>
    <w:rsid w:val="006E77FC"/>
    <w:rsid w:val="006F4292"/>
    <w:rsid w:val="007129E6"/>
    <w:rsid w:val="00721C7A"/>
    <w:rsid w:val="00724094"/>
    <w:rsid w:val="00731AE1"/>
    <w:rsid w:val="00732A3E"/>
    <w:rsid w:val="007347EB"/>
    <w:rsid w:val="0073512F"/>
    <w:rsid w:val="00747AAD"/>
    <w:rsid w:val="00753D51"/>
    <w:rsid w:val="00757FB9"/>
    <w:rsid w:val="00765088"/>
    <w:rsid w:val="00772391"/>
    <w:rsid w:val="007732AA"/>
    <w:rsid w:val="00781F0F"/>
    <w:rsid w:val="007829D9"/>
    <w:rsid w:val="00785982"/>
    <w:rsid w:val="00797AEC"/>
    <w:rsid w:val="007A20DD"/>
    <w:rsid w:val="007A37FD"/>
    <w:rsid w:val="007B3CBD"/>
    <w:rsid w:val="007B4F0B"/>
    <w:rsid w:val="007B51F8"/>
    <w:rsid w:val="007C09B5"/>
    <w:rsid w:val="007E547F"/>
    <w:rsid w:val="007F011D"/>
    <w:rsid w:val="00802B00"/>
    <w:rsid w:val="008163CB"/>
    <w:rsid w:val="008223DF"/>
    <w:rsid w:val="00831EEC"/>
    <w:rsid w:val="0083597C"/>
    <w:rsid w:val="00852A34"/>
    <w:rsid w:val="00862158"/>
    <w:rsid w:val="00871F5D"/>
    <w:rsid w:val="00873468"/>
    <w:rsid w:val="008B513E"/>
    <w:rsid w:val="008B7726"/>
    <w:rsid w:val="008C25C6"/>
    <w:rsid w:val="008D4AE7"/>
    <w:rsid w:val="008D73C5"/>
    <w:rsid w:val="008E1DB3"/>
    <w:rsid w:val="008E77FD"/>
    <w:rsid w:val="008F51DB"/>
    <w:rsid w:val="00906CA9"/>
    <w:rsid w:val="00907292"/>
    <w:rsid w:val="009074A5"/>
    <w:rsid w:val="0092623B"/>
    <w:rsid w:val="00927C3F"/>
    <w:rsid w:val="00932B34"/>
    <w:rsid w:val="00932C77"/>
    <w:rsid w:val="00933816"/>
    <w:rsid w:val="00934154"/>
    <w:rsid w:val="00937D64"/>
    <w:rsid w:val="00947A16"/>
    <w:rsid w:val="00951D8A"/>
    <w:rsid w:val="00955966"/>
    <w:rsid w:val="00956C30"/>
    <w:rsid w:val="00956EDE"/>
    <w:rsid w:val="009575B7"/>
    <w:rsid w:val="009711DE"/>
    <w:rsid w:val="0098431D"/>
    <w:rsid w:val="00990635"/>
    <w:rsid w:val="009913FE"/>
    <w:rsid w:val="00991B21"/>
    <w:rsid w:val="009A2CB7"/>
    <w:rsid w:val="009A52FB"/>
    <w:rsid w:val="009B2FF8"/>
    <w:rsid w:val="009B7577"/>
    <w:rsid w:val="009B7A58"/>
    <w:rsid w:val="009C50C5"/>
    <w:rsid w:val="009F2BE7"/>
    <w:rsid w:val="009F50DA"/>
    <w:rsid w:val="00A038AE"/>
    <w:rsid w:val="00A06CD3"/>
    <w:rsid w:val="00A122B3"/>
    <w:rsid w:val="00A134B8"/>
    <w:rsid w:val="00A16384"/>
    <w:rsid w:val="00A201FA"/>
    <w:rsid w:val="00A2021E"/>
    <w:rsid w:val="00A2272A"/>
    <w:rsid w:val="00A60E90"/>
    <w:rsid w:val="00A62BBD"/>
    <w:rsid w:val="00A64292"/>
    <w:rsid w:val="00A96410"/>
    <w:rsid w:val="00A96BD1"/>
    <w:rsid w:val="00AB1975"/>
    <w:rsid w:val="00AB6402"/>
    <w:rsid w:val="00AD63F9"/>
    <w:rsid w:val="00AE38F8"/>
    <w:rsid w:val="00AF107F"/>
    <w:rsid w:val="00B0195C"/>
    <w:rsid w:val="00B04106"/>
    <w:rsid w:val="00B07D98"/>
    <w:rsid w:val="00B206BB"/>
    <w:rsid w:val="00B338B0"/>
    <w:rsid w:val="00B3763C"/>
    <w:rsid w:val="00B4053F"/>
    <w:rsid w:val="00B424D0"/>
    <w:rsid w:val="00B453D6"/>
    <w:rsid w:val="00B72343"/>
    <w:rsid w:val="00B73A84"/>
    <w:rsid w:val="00B76A6F"/>
    <w:rsid w:val="00B80046"/>
    <w:rsid w:val="00B87B34"/>
    <w:rsid w:val="00B94C0C"/>
    <w:rsid w:val="00BA29AB"/>
    <w:rsid w:val="00BA31D0"/>
    <w:rsid w:val="00BB105A"/>
    <w:rsid w:val="00BB1A3E"/>
    <w:rsid w:val="00BC4076"/>
    <w:rsid w:val="00BC5037"/>
    <w:rsid w:val="00BD07FB"/>
    <w:rsid w:val="00BD43FC"/>
    <w:rsid w:val="00BE0F46"/>
    <w:rsid w:val="00BE1E04"/>
    <w:rsid w:val="00BE6690"/>
    <w:rsid w:val="00BE721E"/>
    <w:rsid w:val="00BF374D"/>
    <w:rsid w:val="00C132A3"/>
    <w:rsid w:val="00C21248"/>
    <w:rsid w:val="00C2420D"/>
    <w:rsid w:val="00C364E3"/>
    <w:rsid w:val="00C36B49"/>
    <w:rsid w:val="00C3743E"/>
    <w:rsid w:val="00C46A1F"/>
    <w:rsid w:val="00C5563C"/>
    <w:rsid w:val="00C608CE"/>
    <w:rsid w:val="00C774E6"/>
    <w:rsid w:val="00C96A7B"/>
    <w:rsid w:val="00CA0D4C"/>
    <w:rsid w:val="00CC5D2C"/>
    <w:rsid w:val="00CD6005"/>
    <w:rsid w:val="00CE340D"/>
    <w:rsid w:val="00CE528A"/>
    <w:rsid w:val="00CF04DC"/>
    <w:rsid w:val="00CF5BFE"/>
    <w:rsid w:val="00D0767A"/>
    <w:rsid w:val="00D137B5"/>
    <w:rsid w:val="00D13896"/>
    <w:rsid w:val="00D15545"/>
    <w:rsid w:val="00D16E89"/>
    <w:rsid w:val="00D424E9"/>
    <w:rsid w:val="00D51C71"/>
    <w:rsid w:val="00D54593"/>
    <w:rsid w:val="00D6448E"/>
    <w:rsid w:val="00D77CB7"/>
    <w:rsid w:val="00D83498"/>
    <w:rsid w:val="00D90884"/>
    <w:rsid w:val="00D93B8B"/>
    <w:rsid w:val="00D93CC7"/>
    <w:rsid w:val="00DD3D7F"/>
    <w:rsid w:val="00DE4CF4"/>
    <w:rsid w:val="00DF0479"/>
    <w:rsid w:val="00E00313"/>
    <w:rsid w:val="00E04B9A"/>
    <w:rsid w:val="00E12D51"/>
    <w:rsid w:val="00E22A01"/>
    <w:rsid w:val="00E25AAE"/>
    <w:rsid w:val="00E33861"/>
    <w:rsid w:val="00E5567B"/>
    <w:rsid w:val="00EB00D0"/>
    <w:rsid w:val="00EC32EA"/>
    <w:rsid w:val="00EC709B"/>
    <w:rsid w:val="00EE3314"/>
    <w:rsid w:val="00EF1739"/>
    <w:rsid w:val="00F001FC"/>
    <w:rsid w:val="00F02D82"/>
    <w:rsid w:val="00F03114"/>
    <w:rsid w:val="00F22475"/>
    <w:rsid w:val="00F24EC7"/>
    <w:rsid w:val="00F50BC2"/>
    <w:rsid w:val="00F560A0"/>
    <w:rsid w:val="00F61770"/>
    <w:rsid w:val="00F66AFD"/>
    <w:rsid w:val="00F67E96"/>
    <w:rsid w:val="00F7507B"/>
    <w:rsid w:val="00F7741A"/>
    <w:rsid w:val="00F91A82"/>
    <w:rsid w:val="00F91B61"/>
    <w:rsid w:val="00F91CB8"/>
    <w:rsid w:val="00F92D24"/>
    <w:rsid w:val="00FB27B0"/>
    <w:rsid w:val="00FB5CD6"/>
    <w:rsid w:val="00FC043A"/>
    <w:rsid w:val="00FC0692"/>
    <w:rsid w:val="00FC4FF8"/>
    <w:rsid w:val="00FD71D4"/>
    <w:rsid w:val="00FE0D60"/>
    <w:rsid w:val="00FF41C4"/>
    <w:rsid w:val="00FF43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微软雅黑"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after="200"/>
    </w:pPr>
    <w:rPr>
      <w:rFonts w:ascii="Tahoma" w:hAnsi="Tahoma" w:cs="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BF374D"/>
    <w:pPr>
      <w:adjustRightInd/>
      <w:snapToGrid/>
      <w:spacing w:before="100" w:beforeAutospacing="1" w:after="100" w:afterAutospacing="1"/>
    </w:pPr>
    <w:rPr>
      <w:rFonts w:ascii="宋体" w:eastAsia="宋体" w:hAnsi="宋体" w:cs="宋体"/>
      <w:sz w:val="24"/>
      <w:szCs w:val="24"/>
    </w:rPr>
  </w:style>
  <w:style w:type="paragraph" w:styleId="a4">
    <w:name w:val="header"/>
    <w:basedOn w:val="a"/>
    <w:link w:val="Char"/>
    <w:uiPriority w:val="99"/>
    <w:semiHidden/>
    <w:rsid w:val="00BF374D"/>
    <w:pPr>
      <w:pBdr>
        <w:bottom w:val="single" w:sz="6" w:space="1" w:color="auto"/>
      </w:pBdr>
      <w:tabs>
        <w:tab w:val="center" w:pos="4153"/>
        <w:tab w:val="right" w:pos="8306"/>
      </w:tabs>
      <w:jc w:val="center"/>
    </w:pPr>
    <w:rPr>
      <w:sz w:val="18"/>
      <w:szCs w:val="18"/>
    </w:rPr>
  </w:style>
  <w:style w:type="character" w:customStyle="1" w:styleId="Char">
    <w:name w:val="页眉 Char"/>
    <w:link w:val="a4"/>
    <w:uiPriority w:val="99"/>
    <w:semiHidden/>
    <w:locked/>
    <w:rsid w:val="00BF374D"/>
    <w:rPr>
      <w:rFonts w:ascii="Tahoma" w:hAnsi="Tahoma" w:cs="Tahoma"/>
      <w:sz w:val="18"/>
      <w:szCs w:val="18"/>
    </w:rPr>
  </w:style>
  <w:style w:type="paragraph" w:styleId="a5">
    <w:name w:val="footer"/>
    <w:basedOn w:val="a"/>
    <w:link w:val="Char0"/>
    <w:uiPriority w:val="99"/>
    <w:rsid w:val="00BF374D"/>
    <w:pPr>
      <w:tabs>
        <w:tab w:val="center" w:pos="4153"/>
        <w:tab w:val="right" w:pos="8306"/>
      </w:tabs>
    </w:pPr>
    <w:rPr>
      <w:sz w:val="18"/>
      <w:szCs w:val="18"/>
    </w:rPr>
  </w:style>
  <w:style w:type="character" w:customStyle="1" w:styleId="Char0">
    <w:name w:val="页脚 Char"/>
    <w:link w:val="a5"/>
    <w:uiPriority w:val="99"/>
    <w:locked/>
    <w:rsid w:val="00BF374D"/>
    <w:rPr>
      <w:rFonts w:ascii="Tahoma" w:hAnsi="Tahoma" w:cs="Tahoma"/>
      <w:sz w:val="18"/>
      <w:szCs w:val="18"/>
    </w:rPr>
  </w:style>
  <w:style w:type="paragraph" w:styleId="a6">
    <w:name w:val="List Paragraph"/>
    <w:basedOn w:val="a"/>
    <w:uiPriority w:val="99"/>
    <w:qFormat/>
    <w:rsid w:val="009F50DA"/>
    <w:pPr>
      <w:adjustRightInd/>
      <w:snapToGrid/>
      <w:spacing w:after="0"/>
      <w:ind w:firstLineChars="200" w:firstLine="420"/>
    </w:pPr>
    <w:rPr>
      <w:rFonts w:ascii="宋体" w:eastAsia="宋体" w:hAnsi="宋体" w:cs="宋体"/>
      <w:sz w:val="24"/>
      <w:szCs w:val="24"/>
    </w:rPr>
  </w:style>
  <w:style w:type="paragraph" w:customStyle="1" w:styleId="Default">
    <w:name w:val="Default"/>
    <w:uiPriority w:val="99"/>
    <w:rsid w:val="00C132A3"/>
    <w:pPr>
      <w:widowControl w:val="0"/>
      <w:autoSpaceDE w:val="0"/>
      <w:autoSpaceDN w:val="0"/>
      <w:adjustRightInd w:val="0"/>
    </w:pPr>
    <w:rPr>
      <w:rFonts w:ascii="宋体" w:eastAsia="宋体" w:cs="宋体"/>
      <w:color w:val="000000"/>
      <w:sz w:val="24"/>
      <w:szCs w:val="24"/>
    </w:rPr>
  </w:style>
  <w:style w:type="paragraph" w:styleId="a7">
    <w:name w:val="Balloon Text"/>
    <w:basedOn w:val="a"/>
    <w:link w:val="Char1"/>
    <w:uiPriority w:val="99"/>
    <w:semiHidden/>
    <w:rsid w:val="00E12D51"/>
    <w:pPr>
      <w:spacing w:after="0"/>
    </w:pPr>
    <w:rPr>
      <w:sz w:val="18"/>
      <w:szCs w:val="18"/>
    </w:rPr>
  </w:style>
  <w:style w:type="character" w:customStyle="1" w:styleId="Char1">
    <w:name w:val="批注框文本 Char"/>
    <w:link w:val="a7"/>
    <w:uiPriority w:val="99"/>
    <w:semiHidden/>
    <w:locked/>
    <w:rsid w:val="00E12D51"/>
    <w:rPr>
      <w:rFonts w:ascii="Tahoma" w:hAnsi="Tahoma" w:cs="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8769653">
      <w:marLeft w:val="0"/>
      <w:marRight w:val="0"/>
      <w:marTop w:val="0"/>
      <w:marBottom w:val="0"/>
      <w:divBdr>
        <w:top w:val="none" w:sz="0" w:space="0" w:color="auto"/>
        <w:left w:val="none" w:sz="0" w:space="0" w:color="auto"/>
        <w:bottom w:val="none" w:sz="0" w:space="0" w:color="auto"/>
        <w:right w:val="none" w:sz="0" w:space="0" w:color="auto"/>
      </w:divBdr>
      <w:divsChild>
        <w:div w:id="798769658">
          <w:marLeft w:val="0"/>
          <w:marRight w:val="0"/>
          <w:marTop w:val="0"/>
          <w:marBottom w:val="0"/>
          <w:divBdr>
            <w:top w:val="none" w:sz="0" w:space="0" w:color="auto"/>
            <w:left w:val="none" w:sz="0" w:space="0" w:color="auto"/>
            <w:bottom w:val="none" w:sz="0" w:space="0" w:color="auto"/>
            <w:right w:val="none" w:sz="0" w:space="0" w:color="auto"/>
          </w:divBdr>
        </w:div>
      </w:divsChild>
    </w:div>
    <w:div w:id="798769656">
      <w:marLeft w:val="0"/>
      <w:marRight w:val="0"/>
      <w:marTop w:val="0"/>
      <w:marBottom w:val="0"/>
      <w:divBdr>
        <w:top w:val="none" w:sz="0" w:space="0" w:color="auto"/>
        <w:left w:val="none" w:sz="0" w:space="0" w:color="auto"/>
        <w:bottom w:val="none" w:sz="0" w:space="0" w:color="auto"/>
        <w:right w:val="none" w:sz="0" w:space="0" w:color="auto"/>
      </w:divBdr>
    </w:div>
    <w:div w:id="798769661">
      <w:marLeft w:val="0"/>
      <w:marRight w:val="0"/>
      <w:marTop w:val="0"/>
      <w:marBottom w:val="0"/>
      <w:divBdr>
        <w:top w:val="none" w:sz="0" w:space="0" w:color="auto"/>
        <w:left w:val="none" w:sz="0" w:space="0" w:color="auto"/>
        <w:bottom w:val="none" w:sz="0" w:space="0" w:color="auto"/>
        <w:right w:val="none" w:sz="0" w:space="0" w:color="auto"/>
      </w:divBdr>
    </w:div>
    <w:div w:id="798769662">
      <w:marLeft w:val="0"/>
      <w:marRight w:val="0"/>
      <w:marTop w:val="0"/>
      <w:marBottom w:val="0"/>
      <w:divBdr>
        <w:top w:val="none" w:sz="0" w:space="0" w:color="auto"/>
        <w:left w:val="none" w:sz="0" w:space="0" w:color="auto"/>
        <w:bottom w:val="none" w:sz="0" w:space="0" w:color="auto"/>
        <w:right w:val="none" w:sz="0" w:space="0" w:color="auto"/>
      </w:divBdr>
      <w:divsChild>
        <w:div w:id="798769654">
          <w:marLeft w:val="1166"/>
          <w:marRight w:val="0"/>
          <w:marTop w:val="134"/>
          <w:marBottom w:val="0"/>
          <w:divBdr>
            <w:top w:val="none" w:sz="0" w:space="0" w:color="auto"/>
            <w:left w:val="none" w:sz="0" w:space="0" w:color="auto"/>
            <w:bottom w:val="none" w:sz="0" w:space="0" w:color="auto"/>
            <w:right w:val="none" w:sz="0" w:space="0" w:color="auto"/>
          </w:divBdr>
        </w:div>
        <w:div w:id="798769655">
          <w:marLeft w:val="1166"/>
          <w:marRight w:val="0"/>
          <w:marTop w:val="134"/>
          <w:marBottom w:val="0"/>
          <w:divBdr>
            <w:top w:val="none" w:sz="0" w:space="0" w:color="auto"/>
            <w:left w:val="none" w:sz="0" w:space="0" w:color="auto"/>
            <w:bottom w:val="none" w:sz="0" w:space="0" w:color="auto"/>
            <w:right w:val="none" w:sz="0" w:space="0" w:color="auto"/>
          </w:divBdr>
        </w:div>
        <w:div w:id="798769657">
          <w:marLeft w:val="1166"/>
          <w:marRight w:val="0"/>
          <w:marTop w:val="134"/>
          <w:marBottom w:val="0"/>
          <w:divBdr>
            <w:top w:val="none" w:sz="0" w:space="0" w:color="auto"/>
            <w:left w:val="none" w:sz="0" w:space="0" w:color="auto"/>
            <w:bottom w:val="none" w:sz="0" w:space="0" w:color="auto"/>
            <w:right w:val="none" w:sz="0" w:space="0" w:color="auto"/>
          </w:divBdr>
        </w:div>
        <w:div w:id="798769659">
          <w:marLeft w:val="1166"/>
          <w:marRight w:val="0"/>
          <w:marTop w:val="134"/>
          <w:marBottom w:val="0"/>
          <w:divBdr>
            <w:top w:val="none" w:sz="0" w:space="0" w:color="auto"/>
            <w:left w:val="none" w:sz="0" w:space="0" w:color="auto"/>
            <w:bottom w:val="none" w:sz="0" w:space="0" w:color="auto"/>
            <w:right w:val="none" w:sz="0" w:space="0" w:color="auto"/>
          </w:divBdr>
        </w:div>
        <w:div w:id="798769660">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595</Words>
  <Characters>3392</Characters>
  <Application>Microsoft Office Word</Application>
  <DocSecurity>0</DocSecurity>
  <Lines>28</Lines>
  <Paragraphs>7</Paragraphs>
  <ScaleCrop>false</ScaleCrop>
  <Company/>
  <LinksUpToDate>false</LinksUpToDate>
  <CharactersWithSpaces>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政府会计准则第XX号——公共基础设施</dc:title>
  <dc:creator>helloworld</dc:creator>
  <cp:lastModifiedBy>l</cp:lastModifiedBy>
  <cp:revision>3</cp:revision>
  <cp:lastPrinted>2016-09-08T08:07:00Z</cp:lastPrinted>
  <dcterms:created xsi:type="dcterms:W3CDTF">2016-09-13T08:38:00Z</dcterms:created>
  <dcterms:modified xsi:type="dcterms:W3CDTF">2016-09-14T08:11:00Z</dcterms:modified>
</cp:coreProperties>
</file>