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60" w:lineRule="exact"/>
        <w:rPr>
          <w:rFonts w:ascii="仿宋" w:hAnsi="仿宋" w:eastAsia="仿宋" w:cs="仿宋"/>
          <w:sz w:val="32"/>
          <w:szCs w:val="32"/>
        </w:rPr>
      </w:pPr>
      <w:bookmarkStart w:id="0" w:name="_GoBack"/>
      <w:bookmarkEnd w:id="0"/>
      <w:r>
        <w:rPr>
          <w:rFonts w:hint="eastAsia" w:ascii="仿宋" w:hAnsi="仿宋" w:eastAsia="仿宋" w:cs="仿宋"/>
          <w:sz w:val="32"/>
          <w:szCs w:val="32"/>
        </w:rPr>
        <w:t>附件4：</w:t>
      </w:r>
    </w:p>
    <w:p>
      <w:pPr>
        <w:pStyle w:val="4"/>
        <w:spacing w:before="0" w:beforeAutospacing="0" w:after="0" w:afterAutospacing="0" w:line="560" w:lineRule="exact"/>
        <w:rPr>
          <w:rFonts w:ascii="仿宋" w:hAnsi="仿宋" w:eastAsia="仿宋" w:cs="仿宋"/>
          <w:sz w:val="32"/>
          <w:szCs w:val="32"/>
        </w:rPr>
      </w:pPr>
    </w:p>
    <w:p>
      <w:pPr>
        <w:pStyle w:val="4"/>
        <w:spacing w:before="0" w:beforeAutospacing="0" w:after="0" w:afterAutospacing="0" w:line="560" w:lineRule="exact"/>
        <w:jc w:val="center"/>
        <w:rPr>
          <w:rFonts w:ascii="华文中宋" w:hAnsi="华文中宋" w:eastAsia="华文中宋" w:cs="华文中宋"/>
          <w:kern w:val="2"/>
          <w:sz w:val="44"/>
          <w:szCs w:val="44"/>
        </w:rPr>
      </w:pPr>
      <w:r>
        <w:rPr>
          <w:rFonts w:hint="eastAsia" w:ascii="华文中宋" w:hAnsi="华文中宋" w:eastAsia="华文中宋" w:cs="华文中宋"/>
          <w:kern w:val="2"/>
          <w:sz w:val="44"/>
          <w:szCs w:val="44"/>
        </w:rPr>
        <w:t>《辽宁省高级会计师资格评价标准(试行)</w:t>
      </w:r>
    </w:p>
    <w:p>
      <w:pPr>
        <w:pStyle w:val="4"/>
        <w:spacing w:before="0" w:beforeAutospacing="0" w:after="0" w:afterAutospacing="0" w:line="560" w:lineRule="exact"/>
        <w:jc w:val="center"/>
        <w:rPr>
          <w:rFonts w:ascii="华文中宋" w:hAnsi="华文中宋" w:eastAsia="华文中宋" w:cs="华文中宋"/>
          <w:sz w:val="44"/>
          <w:szCs w:val="44"/>
        </w:rPr>
      </w:pPr>
      <w:r>
        <w:rPr>
          <w:rFonts w:hint="eastAsia" w:ascii="华文中宋" w:hAnsi="华文中宋" w:eastAsia="华文中宋" w:cs="华文中宋"/>
          <w:kern w:val="2"/>
          <w:sz w:val="44"/>
          <w:szCs w:val="44"/>
        </w:rPr>
        <w:t>（征求意见稿)》</w:t>
      </w:r>
      <w:r>
        <w:rPr>
          <w:rStyle w:val="6"/>
          <w:rFonts w:hint="eastAsia" w:ascii="华文中宋" w:hAnsi="华文中宋" w:eastAsia="华文中宋" w:cs="华文中宋"/>
          <w:b w:val="0"/>
          <w:color w:val="333333"/>
          <w:sz w:val="44"/>
          <w:szCs w:val="44"/>
        </w:rPr>
        <w:t>的</w:t>
      </w:r>
      <w:r>
        <w:rPr>
          <w:rFonts w:hint="eastAsia" w:ascii="华文中宋" w:hAnsi="华文中宋" w:eastAsia="华文中宋" w:cs="华文中宋"/>
          <w:sz w:val="44"/>
          <w:szCs w:val="44"/>
        </w:rPr>
        <w:t>起草说明</w:t>
      </w:r>
    </w:p>
    <w:p>
      <w:pPr>
        <w:pStyle w:val="4"/>
        <w:spacing w:before="0" w:beforeAutospacing="0" w:after="0" w:afterAutospacing="0" w:line="560" w:lineRule="exact"/>
        <w:jc w:val="center"/>
        <w:rPr>
          <w:rFonts w:ascii="仿宋" w:hAnsi="仿宋" w:eastAsia="仿宋" w:cs="仿宋"/>
          <w:sz w:val="32"/>
          <w:szCs w:val="32"/>
        </w:rPr>
      </w:pPr>
    </w:p>
    <w:p>
      <w:pPr>
        <w:pStyle w:val="4"/>
        <w:spacing w:before="0" w:beforeAutospacing="0" w:after="0" w:afterAutospacing="0" w:line="560" w:lineRule="exact"/>
        <w:ind w:firstLine="640" w:firstLineChars="200"/>
        <w:rPr>
          <w:rFonts w:ascii="仿宋" w:hAnsi="仿宋" w:eastAsia="仿宋" w:cs="仿宋"/>
          <w:sz w:val="32"/>
          <w:szCs w:val="32"/>
        </w:rPr>
      </w:pPr>
      <w:r>
        <w:rPr>
          <w:rFonts w:hint="eastAsia" w:ascii="仿宋" w:hAnsi="仿宋" w:eastAsia="仿宋" w:cs="仿宋"/>
          <w:sz w:val="32"/>
          <w:szCs w:val="32"/>
        </w:rPr>
        <w:t>为贯彻落实国家和我省深化职称制度改革精神，加强会计人才队伍建设，客观、科学、公正评价会计专业技术人才，发挥人才评价指挥棒作用，根据《中华人民共和国会计法》等法律法规，我们起草制定了《辽宁省高级会计师资格评价标准(试行)（征求意见稿)》（以下简称《征求意见稿》）。现对《征求意见稿》说明如下：</w:t>
      </w:r>
    </w:p>
    <w:p>
      <w:pPr>
        <w:spacing w:line="560" w:lineRule="exact"/>
        <w:ind w:firstLine="640" w:firstLineChars="200"/>
        <w:rPr>
          <w:rStyle w:val="6"/>
          <w:rFonts w:ascii="黑体" w:hAnsi="黑体" w:eastAsia="黑体" w:cs="黑体"/>
          <w:b w:val="0"/>
          <w:color w:val="333333"/>
          <w:sz w:val="32"/>
          <w:szCs w:val="32"/>
        </w:rPr>
      </w:pPr>
      <w:r>
        <w:rPr>
          <w:rStyle w:val="6"/>
          <w:rFonts w:hint="eastAsia" w:ascii="黑体" w:hAnsi="黑体" w:eastAsia="黑体" w:cs="黑体"/>
          <w:b w:val="0"/>
          <w:color w:val="333333"/>
          <w:sz w:val="32"/>
          <w:szCs w:val="32"/>
        </w:rPr>
        <w:t>一、制定背景</w:t>
      </w: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1.贯彻落实</w:t>
      </w:r>
      <w:r>
        <w:rPr>
          <w:rFonts w:hint="eastAsia" w:ascii="楷体" w:hAnsi="楷体" w:eastAsia="楷体" w:cs="楷体"/>
          <w:b/>
          <w:bCs/>
          <w:color w:val="333333"/>
          <w:kern w:val="0"/>
          <w:sz w:val="32"/>
          <w:szCs w:val="32"/>
        </w:rPr>
        <w:t>党中央国务院和省委省政府深化职称制度改革的要求。</w:t>
      </w:r>
      <w:r>
        <w:rPr>
          <w:rFonts w:hint="eastAsia" w:ascii="仿宋" w:hAnsi="仿宋" w:eastAsia="仿宋" w:cs="仿宋"/>
          <w:color w:val="333333"/>
          <w:kern w:val="0"/>
          <w:sz w:val="32"/>
          <w:szCs w:val="32"/>
        </w:rPr>
        <w:t>人才是经济社会发展最重要的资源。去年底，中央</w:t>
      </w:r>
      <w:r>
        <w:rPr>
          <w:rFonts w:hint="eastAsia" w:ascii="仿宋" w:hAnsi="仿宋" w:eastAsia="仿宋" w:cs="仿宋"/>
          <w:sz w:val="32"/>
          <w:szCs w:val="32"/>
        </w:rPr>
        <w:t>出台了《关于深化职称制度改革的意见》，今年7月我省出台了《关于深化职称制度改革的实施意见》，明确了专业技术人才评价标准和导向。为客观科学公正评价高级会计专业技术资格，落实国家和省职称评价标准的最新精神和要求，需要结合我省实际，制定《征求意见稿》。</w:t>
      </w: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2.适应经济结构调整、振兴辽宁老工业基地的要求。</w:t>
      </w:r>
      <w:r>
        <w:rPr>
          <w:rFonts w:hint="eastAsia" w:ascii="仿宋" w:hAnsi="仿宋" w:eastAsia="仿宋" w:cs="仿宋"/>
          <w:sz w:val="32"/>
          <w:szCs w:val="32"/>
        </w:rPr>
        <w:t>经济越发展，会计越重要。当前我省面临经济社会发展转型和振兴老工业基地的艰巨任务，需要各行各业高素质的专业技术人才做保障。高级会计师是会计人才队伍中的优秀者，是我省经济社会发展、老工业基地振兴的重要力量。制定客观科学公正的高级会计师资格评价标准，充分发挥职称评审制度的激励作用，为我省经济社会发展和老工业基地振兴提供会计人才支撑，需要制定《征求意见稿》。</w:t>
      </w: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3.提升会计人才队伍素质的要求。</w:t>
      </w:r>
      <w:r>
        <w:rPr>
          <w:rFonts w:hint="eastAsia" w:ascii="仿宋" w:hAnsi="仿宋" w:eastAsia="仿宋" w:cs="仿宋"/>
          <w:sz w:val="32"/>
          <w:szCs w:val="32"/>
        </w:rPr>
        <w:t>人才评价具有指挥棒的作用。我省拥有50万会计人员，会计专业技术人员13万人。制定客观科学公正的正高级会计师资格评价标准，引导和激励广大会计人员提升能力素质和工作质量，让会计专业技术人才有成就感和获得感，需要制定《征求意见稿》。</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二、指导思想</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全面贯彻党的十八大和十八届三中、四中、五中、六中全会精神，以邓小平理论、“三个代表”重要实现、科学发展观为指导，深入贯彻</w:t>
      </w:r>
      <w:r>
        <w:rPr>
          <w:rFonts w:hint="eastAsia" w:ascii="仿宋" w:hAnsi="仿宋" w:eastAsia="仿宋"/>
          <w:sz w:val="32"/>
          <w:szCs w:val="32"/>
        </w:rPr>
        <w:t>习近平总书记系列讲话重要讲话精神和治国理政新理念新思想新战略，认真落实</w:t>
      </w:r>
      <w:r>
        <w:rPr>
          <w:rFonts w:hint="eastAsia" w:ascii="仿宋" w:hAnsi="仿宋" w:eastAsia="仿宋" w:cs="仿宋"/>
          <w:sz w:val="32"/>
          <w:szCs w:val="32"/>
        </w:rPr>
        <w:t>党中央国务院和省委省政府关于深化职称制度改革的精神和要求，</w:t>
      </w:r>
      <w:r>
        <w:rPr>
          <w:rFonts w:hint="eastAsia" w:ascii="仿宋" w:hAnsi="仿宋" w:eastAsia="仿宋" w:cs="仿宋"/>
          <w:color w:val="333333"/>
          <w:kern w:val="0"/>
          <w:sz w:val="32"/>
          <w:szCs w:val="32"/>
        </w:rPr>
        <w:t>遵循人才成长规律，把握职业特点，</w:t>
      </w:r>
      <w:r>
        <w:rPr>
          <w:rFonts w:hint="eastAsia" w:ascii="仿宋" w:hAnsi="仿宋" w:eastAsia="仿宋" w:cs="仿宋"/>
          <w:sz w:val="32"/>
          <w:szCs w:val="32"/>
        </w:rPr>
        <w:t>坚持德才兼备、以德为先、科学评价，激励会计专业技术人才提升能力和素质，</w:t>
      </w:r>
      <w:r>
        <w:rPr>
          <w:rFonts w:hint="eastAsia" w:ascii="仿宋" w:hAnsi="仿宋" w:eastAsia="仿宋" w:cs="仿宋"/>
          <w:color w:val="333333"/>
          <w:kern w:val="0"/>
          <w:sz w:val="32"/>
          <w:szCs w:val="32"/>
        </w:rPr>
        <w:t>为实现我省经济社会发展</w:t>
      </w:r>
      <w:r>
        <w:rPr>
          <w:rFonts w:hint="eastAsia" w:ascii="仿宋" w:hAnsi="仿宋" w:eastAsia="仿宋" w:cs="仿宋"/>
          <w:sz w:val="32"/>
          <w:szCs w:val="32"/>
        </w:rPr>
        <w:t>战略和创新驱动战略提供高端会计专业技术管理人才。</w:t>
      </w: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基本原则</w:t>
      </w: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1.坚持改革，完善标准。</w:t>
      </w:r>
      <w:r>
        <w:rPr>
          <w:rFonts w:hint="eastAsia" w:ascii="仿宋" w:hAnsi="仿宋" w:eastAsia="仿宋" w:cs="仿宋"/>
          <w:sz w:val="32"/>
          <w:szCs w:val="32"/>
        </w:rPr>
        <w:t>贯彻落实职称制度改革的有关精神和要求，坚持服务发展、激励创新、以用为本。破除行业、所有制等限制，充分考虑正高级会计师评审的复杂性和会计专业技术人员的关注度，在改革的同时适度保持政策的连续性，逐步完善评审标准。</w:t>
      </w: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2.坚持引领，激励成长。</w:t>
      </w:r>
      <w:r>
        <w:rPr>
          <w:rFonts w:hint="eastAsia" w:ascii="仿宋" w:hAnsi="仿宋" w:eastAsia="仿宋" w:cs="仿宋"/>
          <w:sz w:val="32"/>
          <w:szCs w:val="32"/>
        </w:rPr>
        <w:t>遵循会计专业技术人才成长规律，以选拔和评价高级会计管理人才为目标，克服唯学历、唯资历、唯论文倾向，注重品德、能力和业绩，坚持一定的高标准，最大限度发挥职称评审的激励引导作用，为优秀会计人才成长提供良好条件。</w:t>
      </w: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3.坚持问题导向，科学评价。</w:t>
      </w:r>
      <w:r>
        <w:rPr>
          <w:rFonts w:hint="eastAsia" w:ascii="仿宋" w:hAnsi="仿宋" w:eastAsia="仿宋" w:cs="仿宋"/>
          <w:sz w:val="32"/>
          <w:szCs w:val="32"/>
        </w:rPr>
        <w:t xml:space="preserve">针对现行高级会计师资格评审过程中遇到的突出问题，也是会计人员反映突出、与会计人员工作现实情况不符的问题，即论文发表的真实性问题，予以客观正视和合理解决，本着实事求是的态度，研究制定更贴近会计人员实际的评价标准。 </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四、主要内容</w:t>
      </w:r>
    </w:p>
    <w:p>
      <w:pPr>
        <w:pStyle w:val="4"/>
        <w:spacing w:before="0" w:beforeAutospacing="0" w:after="0" w:afterAutospacing="0" w:line="560" w:lineRule="exact"/>
        <w:ind w:firstLine="640"/>
        <w:rPr>
          <w:rFonts w:ascii="仿宋" w:hAnsi="仿宋" w:eastAsia="仿宋" w:cs="仿宋"/>
          <w:sz w:val="32"/>
          <w:szCs w:val="32"/>
        </w:rPr>
      </w:pPr>
      <w:r>
        <w:rPr>
          <w:rFonts w:hint="eastAsia" w:ascii="仿宋" w:hAnsi="仿宋" w:eastAsia="仿宋" w:cs="仿宋"/>
          <w:color w:val="333333"/>
          <w:sz w:val="32"/>
          <w:szCs w:val="32"/>
        </w:rPr>
        <w:t>《征求意见稿》</w:t>
      </w:r>
      <w:r>
        <w:rPr>
          <w:rStyle w:val="6"/>
          <w:rFonts w:hint="eastAsia" w:ascii="仿宋" w:hAnsi="仿宋" w:eastAsia="仿宋" w:cs="仿宋"/>
          <w:b w:val="0"/>
          <w:color w:val="333333"/>
          <w:sz w:val="32"/>
          <w:szCs w:val="32"/>
        </w:rPr>
        <w:t>共四章十七条</w:t>
      </w:r>
      <w:r>
        <w:rPr>
          <w:rFonts w:hint="eastAsia" w:ascii="仿宋" w:hAnsi="仿宋" w:eastAsia="仿宋" w:cs="仿宋"/>
          <w:sz w:val="32"/>
          <w:szCs w:val="32"/>
        </w:rPr>
        <w:t>。主要内容如下：</w:t>
      </w: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1.明确了高级会计师资格评价对象。</w:t>
      </w:r>
      <w:r>
        <w:rPr>
          <w:rFonts w:hint="eastAsia" w:ascii="仿宋" w:hAnsi="仿宋" w:eastAsia="仿宋" w:cs="仿宋"/>
          <w:sz w:val="32"/>
          <w:szCs w:val="32"/>
        </w:rPr>
        <w:t>《征求意见稿》明确了辽宁省境内的企业、事业单位（参照公务员管理的事业单位除外）、会计中介机构、社会团体和其他经济组织中从事会计工作，具备会计师（或审计师)资格，且符合规定条件的在职人员，可以申报高级会计师资格。</w:t>
      </w: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2.明确了高级会计师资格取得方式和组织管理部门。</w:t>
      </w:r>
      <w:r>
        <w:rPr>
          <w:rFonts w:hint="eastAsia" w:ascii="仿宋" w:hAnsi="仿宋" w:eastAsia="仿宋" w:cs="仿宋"/>
          <w:sz w:val="32"/>
          <w:szCs w:val="32"/>
        </w:rPr>
        <w:t>《征求意见稿》规定高级会计师资格通过考评结合方式取得，申报人员需参加全国高级会计师资格统一考试，成绩合格（三年内有效)或者通过省当年评审使用标准人员参加评审。同时明确省财政厅负责组建高级会计师任职条件评审委员会。评委会对申报人员的高级会计师资格独立开展评审工作。评委会办事机构设在省财政厅。</w:t>
      </w:r>
    </w:p>
    <w:p>
      <w:pPr>
        <w:pStyle w:val="4"/>
        <w:spacing w:before="0" w:beforeAutospacing="0" w:after="0" w:afterAutospacing="0" w:line="560" w:lineRule="exact"/>
        <w:ind w:firstLine="640"/>
        <w:rPr>
          <w:rFonts w:ascii="仿宋" w:hAnsi="仿宋" w:eastAsia="仿宋" w:cs="仿宋"/>
          <w:color w:val="333333"/>
          <w:sz w:val="32"/>
          <w:szCs w:val="32"/>
        </w:rPr>
      </w:pPr>
      <w:r>
        <w:rPr>
          <w:rFonts w:hint="eastAsia" w:ascii="楷体" w:hAnsi="楷体" w:eastAsia="楷体" w:cs="楷体"/>
          <w:b/>
          <w:bCs/>
          <w:kern w:val="2"/>
          <w:sz w:val="32"/>
          <w:szCs w:val="32"/>
        </w:rPr>
        <w:t>3.明确了高级会计师资格申报条件和申报程序。</w:t>
      </w:r>
      <w:r>
        <w:rPr>
          <w:rFonts w:hint="eastAsia" w:ascii="仿宋" w:hAnsi="仿宋" w:eastAsia="仿宋" w:cs="仿宋"/>
          <w:sz w:val="32"/>
          <w:szCs w:val="32"/>
        </w:rPr>
        <w:t>《征求意见稿》明确了高级会计师资格申报条件，包括基本条件、学历资历、专业理论水平和工作业绩，同时也明确了申报程序</w:t>
      </w:r>
      <w:r>
        <w:rPr>
          <w:rFonts w:hint="eastAsia" w:ascii="仿宋" w:hAnsi="仿宋" w:eastAsia="仿宋" w:cs="仿宋"/>
          <w:color w:val="333333"/>
          <w:sz w:val="32"/>
          <w:szCs w:val="32"/>
        </w:rPr>
        <w:t>，强调了个人和单位实行双承诺，突出了申报的诚信要求，使申报工作更加规范、公开、透明。</w:t>
      </w:r>
    </w:p>
    <w:p>
      <w:pPr>
        <w:spacing w:line="600" w:lineRule="exact"/>
        <w:ind w:firstLine="643" w:firstLineChars="200"/>
        <w:rPr>
          <w:rFonts w:ascii="仿宋" w:hAnsi="仿宋" w:eastAsia="仿宋" w:cs="仿宋"/>
          <w:sz w:val="32"/>
          <w:szCs w:val="32"/>
        </w:rPr>
      </w:pPr>
      <w:r>
        <w:rPr>
          <w:rFonts w:hint="eastAsia" w:ascii="楷体" w:hAnsi="楷体" w:eastAsia="楷体" w:cs="楷体"/>
          <w:b/>
          <w:bCs/>
          <w:sz w:val="32"/>
          <w:szCs w:val="32"/>
        </w:rPr>
        <w:t>4.规定了对虚假申报人员的处罚。</w:t>
      </w:r>
      <w:r>
        <w:rPr>
          <w:rFonts w:hint="eastAsia" w:ascii="仿宋" w:hAnsi="仿宋" w:eastAsia="仿宋" w:cs="仿宋"/>
          <w:sz w:val="32"/>
          <w:szCs w:val="32"/>
        </w:rPr>
        <w:t>《征求意见稿》明确规定伪造、变造证件或资历证明等6种情形，一经发现，即取消其评审资格，或收回其证书，2年内不得参加正高级会计师资格评审，并在一定范围内通报，同时记入会计人员失信档案，给虚假申报人员以震慑和严惩。</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五、改革创新之处</w:t>
      </w:r>
    </w:p>
    <w:p>
      <w:pPr>
        <w:pStyle w:val="4"/>
        <w:spacing w:before="0" w:beforeAutospacing="0" w:after="0" w:afterAutospacing="0" w:line="560" w:lineRule="exact"/>
        <w:ind w:firstLine="640"/>
        <w:rPr>
          <w:rFonts w:ascii="仿宋" w:hAnsi="仿宋" w:eastAsia="仿宋" w:cs="仿宋"/>
          <w:sz w:val="32"/>
          <w:szCs w:val="32"/>
        </w:rPr>
      </w:pPr>
      <w:r>
        <w:rPr>
          <w:rFonts w:hint="eastAsia" w:ascii="仿宋" w:hAnsi="仿宋" w:eastAsia="仿宋" w:cs="仿宋"/>
          <w:sz w:val="32"/>
          <w:szCs w:val="32"/>
        </w:rPr>
        <w:t>与现行高级会计师资格评价标准相比，《征求意见稿》的改革创新之处主要体现在以下方面：</w:t>
      </w:r>
    </w:p>
    <w:p>
      <w:pPr>
        <w:pStyle w:val="4"/>
        <w:spacing w:before="0" w:beforeAutospacing="0" w:after="0" w:afterAutospacing="0" w:line="560" w:lineRule="exact"/>
        <w:ind w:firstLine="640"/>
        <w:rPr>
          <w:rFonts w:ascii="仿宋" w:hAnsi="仿宋" w:eastAsia="仿宋" w:cs="仿宋"/>
          <w:color w:val="333333"/>
          <w:sz w:val="32"/>
          <w:szCs w:val="32"/>
        </w:rPr>
      </w:pPr>
      <w:r>
        <w:rPr>
          <w:rFonts w:hint="eastAsia" w:ascii="楷体" w:hAnsi="楷体" w:eastAsia="楷体" w:cs="楷体"/>
          <w:b/>
          <w:bCs/>
          <w:kern w:val="2"/>
          <w:sz w:val="32"/>
          <w:szCs w:val="32"/>
        </w:rPr>
        <w:t>1.拓宽了申报人员范围。</w:t>
      </w:r>
      <w:r>
        <w:rPr>
          <w:rFonts w:hint="eastAsia" w:ascii="仿宋" w:hAnsi="仿宋" w:eastAsia="仿宋" w:cs="仿宋"/>
          <w:sz w:val="32"/>
          <w:szCs w:val="32"/>
        </w:rPr>
        <w:t>《征求意见稿》将申报人员的范围由企事业单位从事会计工作的在职高级会计师，拓宽到</w:t>
      </w:r>
      <w:r>
        <w:rPr>
          <w:rFonts w:hint="eastAsia" w:ascii="仿宋" w:hAnsi="仿宋" w:eastAsia="仿宋" w:cs="仿宋"/>
          <w:color w:val="333333"/>
          <w:sz w:val="32"/>
          <w:szCs w:val="32"/>
        </w:rPr>
        <w:t>企业、事业单位（参照公务员管理的事业单位除外）、会计中介机构、社会团体和其他经济组织从事会计工作的在职人员，打破了申报人员所在单位的所有制限制。</w:t>
      </w:r>
    </w:p>
    <w:p>
      <w:pPr>
        <w:pStyle w:val="4"/>
        <w:spacing w:before="0" w:beforeAutospacing="0" w:after="0" w:afterAutospacing="0" w:line="560" w:lineRule="exact"/>
        <w:ind w:firstLine="640"/>
        <w:rPr>
          <w:rFonts w:ascii="仿宋" w:hAnsi="仿宋" w:eastAsia="仿宋" w:cs="仿宋"/>
          <w:sz w:val="32"/>
          <w:szCs w:val="32"/>
        </w:rPr>
      </w:pPr>
      <w:r>
        <w:rPr>
          <w:rFonts w:hint="eastAsia" w:ascii="楷体" w:hAnsi="楷体" w:eastAsia="楷体" w:cs="楷体"/>
          <w:b/>
          <w:bCs/>
          <w:kern w:val="2"/>
          <w:sz w:val="32"/>
          <w:szCs w:val="32"/>
        </w:rPr>
        <w:t>2.评价标准更加注重品德、能力、业绩。</w:t>
      </w:r>
      <w:r>
        <w:rPr>
          <w:rFonts w:hint="eastAsia" w:ascii="仿宋" w:hAnsi="仿宋" w:eastAsia="仿宋" w:cs="仿宋"/>
          <w:sz w:val="32"/>
          <w:szCs w:val="32"/>
        </w:rPr>
        <w:t>在申报条件中，首先强调了品德标准，爱国爱党尊法守法诚信敬业，而且年度考核须合格以上。对专业理论水平和能力的评价，突出强调了有质量的论文或财务分析（或调研)报告等成果，改变了过去追求论文数量的评价标准；对工作业绩的评价，突出强调了工作成果在本单位得到实施。</w:t>
      </w: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3.评价标准更切合会计人员工作的实际状况。</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关于专业理论水平和能力的评价，申报高级职称的人员应当具备一定的专业理论水平和研究能力，但是，考虑到会计工作具有实务性强和会计人员工作任务繁重以及实务工作者发表论文较难的情况，所以对高级会计师的论文，不再要求必须发表，而是强调能够独立撰写高质量的财务分析（或调研)报告也可以，同时，对会计中介机构的申报人员，则要求撰写管理建议书（咨询报告）、财务尽职调查报告也可以，体现了更加务实的要求，使评价标准更切合实际情况。</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关于工作业绩的评价标准，由于会计中介机构人员主要从事审计等经济鉴证工作，和企事业等单位会计人员的工作内容完全不同。本着实事求是、精细化的原则，分别列出会计中介机构人员和企事业单位会计人员的工作业绩评价标准，以使评价标准更有针对性、操作性，更符合会计人员的工作实际。</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评价标准中不再包含对外语和计算机应用能力的评价。考虑到会计人员工作不需要阅读使用外文专业资料，计算机应用能力是现代会计人必备的能力，所以外语和计算机应用能力考试不再作为申报和评审的前置性必备条件</w:t>
      </w:r>
    </w:p>
    <w:p>
      <w:pPr>
        <w:spacing w:line="600" w:lineRule="exact"/>
        <w:ind w:firstLine="643" w:firstLineChars="200"/>
        <w:rPr>
          <w:rFonts w:ascii="仿宋" w:hAnsi="仿宋" w:eastAsia="仿宋" w:cs="仿宋"/>
          <w:sz w:val="32"/>
          <w:szCs w:val="32"/>
        </w:rPr>
      </w:pPr>
      <w:r>
        <w:rPr>
          <w:rFonts w:hint="eastAsia" w:ascii="楷体" w:hAnsi="楷体" w:eastAsia="楷体" w:cs="楷体"/>
          <w:b/>
          <w:bCs/>
          <w:sz w:val="32"/>
          <w:szCs w:val="32"/>
        </w:rPr>
        <w:t>4.评价标准更强调诚信要求。</w:t>
      </w:r>
      <w:r>
        <w:rPr>
          <w:rFonts w:hint="eastAsia" w:ascii="仿宋" w:hAnsi="仿宋" w:eastAsia="仿宋" w:cs="仿宋"/>
          <w:sz w:val="32"/>
          <w:szCs w:val="32"/>
        </w:rPr>
        <w:t>近年来，我国一直在倡导诚信建设。《征求意见稿》进一步突出强调诚信。一是在申报条件中，强调了申报人员的职业道德和操守，突出了诚信执业要求。二是在申报程序中，强调了申报人员和推荐单位都要进行诚信承诺，实行“双诚信”制度。</w:t>
      </w:r>
    </w:p>
    <w:p>
      <w:pPr>
        <w:pStyle w:val="4"/>
        <w:spacing w:before="0" w:beforeAutospacing="0" w:after="0" w:afterAutospacing="0" w:line="560" w:lineRule="exact"/>
        <w:ind w:firstLine="643" w:firstLineChars="200"/>
        <w:rPr>
          <w:rFonts w:ascii="仿宋" w:hAnsi="仿宋" w:eastAsia="仿宋" w:cs="仿宋"/>
          <w:b/>
          <w:color w:val="333333"/>
          <w:sz w:val="32"/>
          <w:szCs w:val="32"/>
        </w:rPr>
      </w:pPr>
      <w:r>
        <w:rPr>
          <w:rFonts w:hint="eastAsia" w:ascii="楷体" w:hAnsi="楷体" w:eastAsia="楷体" w:cs="楷体"/>
          <w:b/>
          <w:bCs/>
          <w:kern w:val="2"/>
          <w:sz w:val="32"/>
          <w:szCs w:val="32"/>
        </w:rPr>
        <w:t>5.与《辽宁省正高级会计师资格评价标准（试行）（征求意见稿)》构成了会计高级职层级评审有机体系。</w:t>
      </w:r>
      <w:r>
        <w:rPr>
          <w:rStyle w:val="6"/>
          <w:rFonts w:hint="eastAsia" w:ascii="仿宋" w:hAnsi="仿宋" w:eastAsia="仿宋" w:cs="仿宋"/>
          <w:b w:val="0"/>
          <w:color w:val="333333"/>
          <w:sz w:val="32"/>
          <w:szCs w:val="32"/>
        </w:rPr>
        <w:t>二者在体例上趋于一致，评价标准上充分考虑了职称的层级关系，既体现了差异性，又体现了内在有机联系，共同构成较为完整的我省高级会计职称资格评价标准体系。</w:t>
      </w:r>
    </w:p>
    <w:sectPr>
      <w:footerReference r:id="rId3"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等线 Light">
    <w:altName w:val="宋体"/>
    <w:panose1 w:val="00000000000000000000"/>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5</w:t>
                          </w:r>
                          <w:r>
                            <w:rPr>
                              <w:rFonts w:hint="eastAsia" w:eastAsia="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5</w:t>
                    </w:r>
                    <w:r>
                      <w:rPr>
                        <w:rFonts w:hint="eastAsia" w:eastAsia="宋体"/>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AE8C11"/>
    <w:multiLevelType w:val="singleLevel"/>
    <w:tmpl w:val="59AE8C11"/>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1FE"/>
    <w:rsid w:val="000177B1"/>
    <w:rsid w:val="00017D1A"/>
    <w:rsid w:val="00032AA4"/>
    <w:rsid w:val="000364BD"/>
    <w:rsid w:val="0006262E"/>
    <w:rsid w:val="00067BE0"/>
    <w:rsid w:val="00083746"/>
    <w:rsid w:val="000839CE"/>
    <w:rsid w:val="000D323B"/>
    <w:rsid w:val="000D3EB4"/>
    <w:rsid w:val="000E5642"/>
    <w:rsid w:val="000E6341"/>
    <w:rsid w:val="00107064"/>
    <w:rsid w:val="001129E4"/>
    <w:rsid w:val="00144470"/>
    <w:rsid w:val="0017769C"/>
    <w:rsid w:val="00181B68"/>
    <w:rsid w:val="0018251D"/>
    <w:rsid w:val="0020176D"/>
    <w:rsid w:val="002131FE"/>
    <w:rsid w:val="00251F09"/>
    <w:rsid w:val="00256FA7"/>
    <w:rsid w:val="00264B23"/>
    <w:rsid w:val="00281A6F"/>
    <w:rsid w:val="002902C3"/>
    <w:rsid w:val="002B0E25"/>
    <w:rsid w:val="002C4FD1"/>
    <w:rsid w:val="002D3C2F"/>
    <w:rsid w:val="002E0376"/>
    <w:rsid w:val="00305AFC"/>
    <w:rsid w:val="00322199"/>
    <w:rsid w:val="00324402"/>
    <w:rsid w:val="00332FE9"/>
    <w:rsid w:val="003444F2"/>
    <w:rsid w:val="003707C8"/>
    <w:rsid w:val="003B13EE"/>
    <w:rsid w:val="003B58D9"/>
    <w:rsid w:val="003D4B33"/>
    <w:rsid w:val="003D5447"/>
    <w:rsid w:val="00431A9C"/>
    <w:rsid w:val="004426B4"/>
    <w:rsid w:val="00472C0A"/>
    <w:rsid w:val="00480352"/>
    <w:rsid w:val="00485BD0"/>
    <w:rsid w:val="00492589"/>
    <w:rsid w:val="00496F40"/>
    <w:rsid w:val="004A2E23"/>
    <w:rsid w:val="004B422B"/>
    <w:rsid w:val="004C56EC"/>
    <w:rsid w:val="004D19EA"/>
    <w:rsid w:val="004D236B"/>
    <w:rsid w:val="004D39B4"/>
    <w:rsid w:val="004D492A"/>
    <w:rsid w:val="004F0E15"/>
    <w:rsid w:val="00501E85"/>
    <w:rsid w:val="005039EB"/>
    <w:rsid w:val="00510B0B"/>
    <w:rsid w:val="005128F9"/>
    <w:rsid w:val="00552604"/>
    <w:rsid w:val="005549CA"/>
    <w:rsid w:val="00554F46"/>
    <w:rsid w:val="00556000"/>
    <w:rsid w:val="005561FF"/>
    <w:rsid w:val="00590EF1"/>
    <w:rsid w:val="005D565B"/>
    <w:rsid w:val="005E30E7"/>
    <w:rsid w:val="005E4E6A"/>
    <w:rsid w:val="00604070"/>
    <w:rsid w:val="00623069"/>
    <w:rsid w:val="00634E99"/>
    <w:rsid w:val="00636AB3"/>
    <w:rsid w:val="00654BFC"/>
    <w:rsid w:val="00666D81"/>
    <w:rsid w:val="0068440C"/>
    <w:rsid w:val="006A11D7"/>
    <w:rsid w:val="006B09E0"/>
    <w:rsid w:val="00703A97"/>
    <w:rsid w:val="00704379"/>
    <w:rsid w:val="007143B9"/>
    <w:rsid w:val="00714B8D"/>
    <w:rsid w:val="00764628"/>
    <w:rsid w:val="00773D45"/>
    <w:rsid w:val="007A1A29"/>
    <w:rsid w:val="007A4606"/>
    <w:rsid w:val="007C0C9E"/>
    <w:rsid w:val="007E1A7F"/>
    <w:rsid w:val="007E60D0"/>
    <w:rsid w:val="00803B2C"/>
    <w:rsid w:val="00804EDC"/>
    <w:rsid w:val="008077AF"/>
    <w:rsid w:val="008370CD"/>
    <w:rsid w:val="008B1586"/>
    <w:rsid w:val="008C22C1"/>
    <w:rsid w:val="008D22DE"/>
    <w:rsid w:val="008E7854"/>
    <w:rsid w:val="008F59AA"/>
    <w:rsid w:val="0092070F"/>
    <w:rsid w:val="00922161"/>
    <w:rsid w:val="009237C3"/>
    <w:rsid w:val="009252DE"/>
    <w:rsid w:val="009337B7"/>
    <w:rsid w:val="00972C2C"/>
    <w:rsid w:val="00973F6A"/>
    <w:rsid w:val="0097499C"/>
    <w:rsid w:val="0097617C"/>
    <w:rsid w:val="009A0BA5"/>
    <w:rsid w:val="009A5D4F"/>
    <w:rsid w:val="009C32B2"/>
    <w:rsid w:val="009D3902"/>
    <w:rsid w:val="00A37AC5"/>
    <w:rsid w:val="00A478A4"/>
    <w:rsid w:val="00A67572"/>
    <w:rsid w:val="00AA132C"/>
    <w:rsid w:val="00AC768D"/>
    <w:rsid w:val="00AF14A6"/>
    <w:rsid w:val="00B125E4"/>
    <w:rsid w:val="00B17BD4"/>
    <w:rsid w:val="00B65500"/>
    <w:rsid w:val="00B7233C"/>
    <w:rsid w:val="00BA242D"/>
    <w:rsid w:val="00BA4772"/>
    <w:rsid w:val="00BC79CA"/>
    <w:rsid w:val="00BC7BFD"/>
    <w:rsid w:val="00BC7F85"/>
    <w:rsid w:val="00BD689C"/>
    <w:rsid w:val="00BE71A4"/>
    <w:rsid w:val="00C321C7"/>
    <w:rsid w:val="00C70DAD"/>
    <w:rsid w:val="00C732E2"/>
    <w:rsid w:val="00C86ADA"/>
    <w:rsid w:val="00CB7524"/>
    <w:rsid w:val="00CF20F3"/>
    <w:rsid w:val="00CF5CFF"/>
    <w:rsid w:val="00D40816"/>
    <w:rsid w:val="00D569A0"/>
    <w:rsid w:val="00D64293"/>
    <w:rsid w:val="00D67CC0"/>
    <w:rsid w:val="00D91E12"/>
    <w:rsid w:val="00D92238"/>
    <w:rsid w:val="00DC0F7E"/>
    <w:rsid w:val="00DD409E"/>
    <w:rsid w:val="00DE1909"/>
    <w:rsid w:val="00DF5177"/>
    <w:rsid w:val="00E070BC"/>
    <w:rsid w:val="00E24037"/>
    <w:rsid w:val="00E24A8F"/>
    <w:rsid w:val="00E36F03"/>
    <w:rsid w:val="00E57A9B"/>
    <w:rsid w:val="00EB3426"/>
    <w:rsid w:val="00EB4A84"/>
    <w:rsid w:val="00F04584"/>
    <w:rsid w:val="00F201BC"/>
    <w:rsid w:val="00F319AA"/>
    <w:rsid w:val="00F3276E"/>
    <w:rsid w:val="00F41FD8"/>
    <w:rsid w:val="00F47FD6"/>
    <w:rsid w:val="00F73BDA"/>
    <w:rsid w:val="00FA3F0E"/>
    <w:rsid w:val="00FB20D8"/>
    <w:rsid w:val="00FD36D3"/>
    <w:rsid w:val="00FF0228"/>
    <w:rsid w:val="01371C94"/>
    <w:rsid w:val="03CF24F0"/>
    <w:rsid w:val="042C49A4"/>
    <w:rsid w:val="05DA2677"/>
    <w:rsid w:val="09371357"/>
    <w:rsid w:val="0C030D72"/>
    <w:rsid w:val="10AF77E1"/>
    <w:rsid w:val="12247D50"/>
    <w:rsid w:val="1434421B"/>
    <w:rsid w:val="194670E7"/>
    <w:rsid w:val="1C3D7F6D"/>
    <w:rsid w:val="1CE8750C"/>
    <w:rsid w:val="1D3B43C7"/>
    <w:rsid w:val="1EDE7016"/>
    <w:rsid w:val="22275EE3"/>
    <w:rsid w:val="26B71563"/>
    <w:rsid w:val="29A87946"/>
    <w:rsid w:val="29C63308"/>
    <w:rsid w:val="2AE606D5"/>
    <w:rsid w:val="2B010741"/>
    <w:rsid w:val="2CFE13C3"/>
    <w:rsid w:val="33CF5313"/>
    <w:rsid w:val="36BA79C1"/>
    <w:rsid w:val="3A1B4965"/>
    <w:rsid w:val="3B693FCA"/>
    <w:rsid w:val="3EFB3647"/>
    <w:rsid w:val="3F9761C5"/>
    <w:rsid w:val="3FF30106"/>
    <w:rsid w:val="40872504"/>
    <w:rsid w:val="40A901B2"/>
    <w:rsid w:val="413A3223"/>
    <w:rsid w:val="431B687A"/>
    <w:rsid w:val="43BD2B34"/>
    <w:rsid w:val="43E556A9"/>
    <w:rsid w:val="4473772C"/>
    <w:rsid w:val="44D10941"/>
    <w:rsid w:val="47BA4CD2"/>
    <w:rsid w:val="490535A9"/>
    <w:rsid w:val="4BFE24E5"/>
    <w:rsid w:val="4F756F62"/>
    <w:rsid w:val="56BD100F"/>
    <w:rsid w:val="576A75EE"/>
    <w:rsid w:val="58951A1C"/>
    <w:rsid w:val="5C7C3933"/>
    <w:rsid w:val="5EEC368D"/>
    <w:rsid w:val="60CE1B44"/>
    <w:rsid w:val="60EC4B68"/>
    <w:rsid w:val="617410F2"/>
    <w:rsid w:val="64DB6B49"/>
    <w:rsid w:val="650B35B0"/>
    <w:rsid w:val="68F32247"/>
    <w:rsid w:val="6D725CB1"/>
    <w:rsid w:val="71485DA6"/>
    <w:rsid w:val="71A845A0"/>
    <w:rsid w:val="72803282"/>
    <w:rsid w:val="72CA6F64"/>
    <w:rsid w:val="73195CA3"/>
    <w:rsid w:val="73B273AC"/>
    <w:rsid w:val="77477646"/>
    <w:rsid w:val="77CD6DF3"/>
    <w:rsid w:val="78B47DFC"/>
    <w:rsid w:val="7ABF0AFF"/>
    <w:rsid w:val="7F9C5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99"/>
    <w:rPr>
      <w:b/>
      <w:bCs/>
    </w:rPr>
  </w:style>
  <w:style w:type="paragraph" w:customStyle="1" w:styleId="8">
    <w:name w:val="列出段落1"/>
    <w:basedOn w:val="1"/>
    <w:qFormat/>
    <w:uiPriority w:val="34"/>
    <w:pPr>
      <w:ind w:firstLine="420" w:firstLineChars="200"/>
    </w:pPr>
  </w:style>
  <w:style w:type="character" w:customStyle="1" w:styleId="9">
    <w:name w:val="页眉 Char"/>
    <w:basedOn w:val="5"/>
    <w:link w:val="3"/>
    <w:qFormat/>
    <w:uiPriority w:val="99"/>
    <w:rPr>
      <w:sz w:val="18"/>
      <w:szCs w:val="18"/>
    </w:rPr>
  </w:style>
  <w:style w:type="character" w:customStyle="1" w:styleId="10">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428</Words>
  <Characters>2443</Characters>
  <Lines>20</Lines>
  <Paragraphs>5</Paragraphs>
  <TotalTime>0</TotalTime>
  <ScaleCrop>false</ScaleCrop>
  <LinksUpToDate>false</LinksUpToDate>
  <CharactersWithSpaces>2866</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2017-08-31T01:41:00Z</dcterms:created>
  <dc:creator>houyi@126.com</dc:creator>
  <cp:lastModifiedBy>dell</cp:lastModifiedBy>
  <cp:lastPrinted>2017-09-07T01:44:00Z</cp:lastPrinted>
  <dcterms:modified xsi:type="dcterms:W3CDTF">2017-09-12T02:42:36Z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